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D849F" w14:textId="061B701C" w:rsidR="00EF4E06" w:rsidRPr="00CE248E" w:rsidRDefault="00EF4E06" w:rsidP="00EF4E06">
      <w:pPr>
        <w:pStyle w:val="3GPPHeader"/>
        <w:spacing w:after="60"/>
        <w:rPr>
          <w:sz w:val="36"/>
          <w:szCs w:val="32"/>
        </w:rPr>
      </w:pPr>
      <w:r w:rsidRPr="007C6CC7">
        <w:t>3GPP TSG-RAN WG2 #101</w:t>
      </w:r>
      <w:r w:rsidRPr="007C6CC7">
        <w:rPr>
          <w:sz w:val="28"/>
        </w:rPr>
        <w:tab/>
      </w:r>
      <w:r w:rsidR="008E54A7" w:rsidRPr="008E54A7">
        <w:rPr>
          <w:sz w:val="28"/>
        </w:rPr>
        <w:t>R2-1806485</w:t>
      </w:r>
    </w:p>
    <w:p w14:paraId="0807292A" w14:textId="68257EB3" w:rsidR="00433D0D" w:rsidRDefault="00AB1C5A" w:rsidP="00311702">
      <w:pPr>
        <w:pStyle w:val="3GPPHeader"/>
        <w:rPr>
          <w:sz w:val="22"/>
        </w:rPr>
      </w:pPr>
      <w:proofErr w:type="spellStart"/>
      <w:r>
        <w:t>Sanya</w:t>
      </w:r>
      <w:proofErr w:type="spellEnd"/>
      <w:r w:rsidRPr="004840A7">
        <w:t xml:space="preserve">, </w:t>
      </w:r>
      <w:r>
        <w:t>P.R. of China, 16</w:t>
      </w:r>
      <w:r w:rsidRPr="00A13CC7">
        <w:rPr>
          <w:vertAlign w:val="superscript"/>
        </w:rPr>
        <w:t>th</w:t>
      </w:r>
      <w:r>
        <w:t xml:space="preserve"> April – 20</w:t>
      </w:r>
      <w:r>
        <w:rPr>
          <w:vertAlign w:val="superscript"/>
        </w:rPr>
        <w:t xml:space="preserve">th </w:t>
      </w:r>
      <w:proofErr w:type="gramStart"/>
      <w:r>
        <w:t>April</w:t>
      </w:r>
      <w:r w:rsidRPr="004840A7">
        <w:t>,</w:t>
      </w:r>
      <w:proofErr w:type="gramEnd"/>
      <w:r w:rsidRPr="004840A7">
        <w:t xml:space="preserve"> 2018</w:t>
      </w:r>
      <w:r w:rsidRPr="007D251A">
        <w:t xml:space="preserve">                 </w:t>
      </w:r>
      <w:r>
        <w:t xml:space="preserve">     </w:t>
      </w:r>
      <w:r w:rsidR="00B61557">
        <w:t xml:space="preserve">                        </w:t>
      </w:r>
    </w:p>
    <w:p w14:paraId="3B2ADF0A" w14:textId="6B3EED60" w:rsidR="00E90E49" w:rsidRPr="00C25A74" w:rsidRDefault="00E90E49" w:rsidP="00311702">
      <w:pPr>
        <w:pStyle w:val="3GPPHeader"/>
        <w:rPr>
          <w:sz w:val="22"/>
        </w:rPr>
      </w:pPr>
      <w:r w:rsidRPr="00C25A74">
        <w:rPr>
          <w:sz w:val="22"/>
        </w:rPr>
        <w:t>Agenda Item:</w:t>
      </w:r>
      <w:r w:rsidRPr="00C25A74">
        <w:rPr>
          <w:sz w:val="22"/>
        </w:rPr>
        <w:tab/>
      </w:r>
      <w:r w:rsidR="00A37343" w:rsidRPr="00A37343">
        <w:rPr>
          <w:sz w:val="22"/>
        </w:rPr>
        <w:t>10.4.1.4.1</w:t>
      </w:r>
    </w:p>
    <w:p w14:paraId="76BB52E1" w14:textId="77777777" w:rsidR="00E90E49" w:rsidRPr="00C25A74" w:rsidRDefault="003D3C45" w:rsidP="00F64C2B">
      <w:pPr>
        <w:pStyle w:val="3GPPHeader"/>
        <w:rPr>
          <w:sz w:val="22"/>
        </w:rPr>
      </w:pPr>
      <w:r w:rsidRPr="00C25A74">
        <w:rPr>
          <w:sz w:val="22"/>
        </w:rPr>
        <w:t>Source:</w:t>
      </w:r>
      <w:r w:rsidR="00E90E49" w:rsidRPr="00C25A74">
        <w:rPr>
          <w:sz w:val="22"/>
        </w:rPr>
        <w:tab/>
      </w:r>
      <w:r w:rsidR="00F64C2B" w:rsidRPr="00C25A74">
        <w:rPr>
          <w:sz w:val="22"/>
        </w:rPr>
        <w:t>Ericsson</w:t>
      </w:r>
    </w:p>
    <w:p w14:paraId="0B677030" w14:textId="240FE42E" w:rsidR="00E90E49" w:rsidRPr="00C25A74" w:rsidRDefault="003D3C45" w:rsidP="00311702">
      <w:pPr>
        <w:pStyle w:val="3GPPHeader"/>
        <w:rPr>
          <w:sz w:val="22"/>
        </w:rPr>
      </w:pPr>
      <w:r w:rsidRPr="00C25A74">
        <w:rPr>
          <w:sz w:val="22"/>
        </w:rPr>
        <w:t>Title:</w:t>
      </w:r>
      <w:r w:rsidR="00E90E49" w:rsidRPr="00C25A74">
        <w:rPr>
          <w:sz w:val="22"/>
        </w:rPr>
        <w:tab/>
      </w:r>
      <w:r w:rsidR="00A37343">
        <w:rPr>
          <w:sz w:val="22"/>
        </w:rPr>
        <w:t xml:space="preserve">Neighbouring cells and </w:t>
      </w:r>
      <w:r w:rsidR="00186F45" w:rsidRPr="00C25A74">
        <w:rPr>
          <w:sz w:val="22"/>
        </w:rPr>
        <w:t>Event</w:t>
      </w:r>
      <w:r w:rsidR="00A37343">
        <w:rPr>
          <w:sz w:val="22"/>
        </w:rPr>
        <w:t>s</w:t>
      </w:r>
      <w:r w:rsidR="00186F45" w:rsidRPr="00C25A74">
        <w:rPr>
          <w:sz w:val="22"/>
        </w:rPr>
        <w:t xml:space="preserve"> A4</w:t>
      </w:r>
      <w:r w:rsidR="00A37343">
        <w:rPr>
          <w:sz w:val="22"/>
        </w:rPr>
        <w:t>/A5</w:t>
      </w:r>
    </w:p>
    <w:p w14:paraId="1A478B06" w14:textId="77777777" w:rsidR="00E90E49" w:rsidRDefault="00E90E49" w:rsidP="00D546FF">
      <w:pPr>
        <w:pStyle w:val="3GPPHeader"/>
        <w:rPr>
          <w:sz w:val="22"/>
        </w:rPr>
      </w:pPr>
      <w:r w:rsidRPr="00C25A74">
        <w:rPr>
          <w:sz w:val="22"/>
        </w:rPr>
        <w:t>Document for:</w:t>
      </w:r>
      <w:r w:rsidRPr="00C25A74">
        <w:rPr>
          <w:sz w:val="22"/>
        </w:rPr>
        <w:tab/>
        <w:t>Discussion, Decision</w:t>
      </w:r>
    </w:p>
    <w:p w14:paraId="45AD37C0" w14:textId="77777777" w:rsidR="00C24345" w:rsidRDefault="00E90E49" w:rsidP="00A2052C">
      <w:pPr>
        <w:pStyle w:val="Heading1"/>
      </w:pPr>
      <w:r w:rsidRPr="00CE0424">
        <w:t>Introduction</w:t>
      </w:r>
    </w:p>
    <w:p w14:paraId="3AEDB323" w14:textId="34311F23" w:rsidR="00A37343" w:rsidRDefault="00A37343" w:rsidP="00A2052C">
      <w:r>
        <w:t xml:space="preserve">In RAN2#101bis in </w:t>
      </w:r>
      <w:proofErr w:type="spellStart"/>
      <w:r>
        <w:t>Sanya</w:t>
      </w:r>
      <w:proofErr w:type="spellEnd"/>
      <w:r>
        <w:t xml:space="preserve">, we have discussed possible ambiguities in the definition of A4 and A5 events when it comes to how the UE shall interpret the neighboring cells that can be used to trigger the event. </w:t>
      </w:r>
    </w:p>
    <w:p w14:paraId="4B95B25F" w14:textId="77777777" w:rsidR="00E15EED" w:rsidRPr="00BD2E56" w:rsidRDefault="00E15EED" w:rsidP="00E15EED">
      <w:pPr>
        <w:pStyle w:val="ComeBack"/>
        <w:rPr>
          <w:b/>
          <w:highlight w:val="yellow"/>
        </w:rPr>
      </w:pPr>
      <w:r w:rsidRPr="00BD2E56">
        <w:rPr>
          <w:b/>
          <w:highlight w:val="yellow"/>
        </w:rPr>
        <w:t>=&gt;</w:t>
      </w:r>
      <w:r w:rsidRPr="00BD2E56">
        <w:rPr>
          <w:b/>
          <w:highlight w:val="yellow"/>
        </w:rPr>
        <w:tab/>
        <w:t>Offline to conclude whether the SpCell or all serving cells are not considered as the neighbour cells for Event A4 and A5. (Offline discussion #37, Ericsson)</w:t>
      </w:r>
    </w:p>
    <w:p w14:paraId="5B8441B4" w14:textId="532F31C1" w:rsidR="008100AA" w:rsidRPr="00E15EED" w:rsidRDefault="00E15EED" w:rsidP="00E15EED">
      <w:pPr>
        <w:pStyle w:val="Doc-text2"/>
        <w:rPr>
          <w:b/>
        </w:rPr>
      </w:pPr>
      <w:r w:rsidRPr="00BD2E56">
        <w:rPr>
          <w:b/>
          <w:highlight w:val="yellow"/>
        </w:rPr>
        <w:t>=&gt;</w:t>
      </w:r>
      <w:r w:rsidRPr="00BD2E56">
        <w:rPr>
          <w:b/>
          <w:highlight w:val="yellow"/>
        </w:rPr>
        <w:tab/>
        <w:t>For Event A6, the frequency should be different from the frequency used by the PSCell (assuming we resolve how to determine the frequency of an MO)</w:t>
      </w:r>
    </w:p>
    <w:p w14:paraId="476E9968" w14:textId="6A6F8F9D" w:rsidR="004000E8" w:rsidRDefault="00A37343" w:rsidP="00CE0424">
      <w:pPr>
        <w:pStyle w:val="Heading1"/>
      </w:pPr>
      <w:r>
        <w:t>Discussion on A4 event (neighbour better than threshold)</w:t>
      </w:r>
    </w:p>
    <w:p w14:paraId="4B2DCA19" w14:textId="734BFE2F" w:rsidR="00A16484" w:rsidRDefault="009D6BE7" w:rsidP="002D2A8D">
      <w:r>
        <w:t xml:space="preserve">In 36.331, measurement event A4 has introduced since Release 8. One of the purposes was to detect cells on other carriers </w:t>
      </w:r>
      <w:r w:rsidR="00A37343">
        <w:t xml:space="preserve">that could be candidates </w:t>
      </w:r>
      <w:r>
        <w:t xml:space="preserve">for load balancing. In that context, the term “neighbour” clearly </w:t>
      </w:r>
      <w:r w:rsidR="00164CB1">
        <w:t xml:space="preserve">refers to any </w:t>
      </w:r>
      <w:r>
        <w:t xml:space="preserve">cell in </w:t>
      </w:r>
      <w:r w:rsidR="00A37343">
        <w:t xml:space="preserve">the </w:t>
      </w:r>
      <w:r>
        <w:t xml:space="preserve">frequency (i.e. in the </w:t>
      </w:r>
      <w:r w:rsidRPr="00C25A74">
        <w:rPr>
          <w:i/>
        </w:rPr>
        <w:t>measObject</w:t>
      </w:r>
      <w:r>
        <w:t xml:space="preserve">) linked to that </w:t>
      </w:r>
      <w:r w:rsidRPr="00C25A74">
        <w:rPr>
          <w:i/>
        </w:rPr>
        <w:t>reportConfig</w:t>
      </w:r>
      <w:r>
        <w:t xml:space="preserve">. Hence, any cell in frequency </w:t>
      </w:r>
      <w:r w:rsidR="00A37343">
        <w:t xml:space="preserve">associated to the </w:t>
      </w:r>
      <w:r w:rsidR="00A37343" w:rsidRPr="00A37343">
        <w:rPr>
          <w:i/>
        </w:rPr>
        <w:t>measObject</w:t>
      </w:r>
      <w:r w:rsidR="00A37343">
        <w:t xml:space="preserve">. </w:t>
      </w:r>
      <w:r w:rsidR="00A16484">
        <w:t xml:space="preserve"> </w:t>
      </w:r>
      <w:r>
        <w:t xml:space="preserve">With the introduction of carrier aggregation in Rel-10, </w:t>
      </w:r>
      <w:r w:rsidR="00164CB1">
        <w:t xml:space="preserve">the term </w:t>
      </w:r>
      <w:r w:rsidR="0031530B">
        <w:t>“</w:t>
      </w:r>
      <w:r w:rsidR="00164CB1">
        <w:t>neighbour cell</w:t>
      </w:r>
      <w:r w:rsidR="0031530B">
        <w:t>”</w:t>
      </w:r>
      <w:r w:rsidR="00164CB1">
        <w:t xml:space="preserve"> </w:t>
      </w:r>
      <w:r>
        <w:t xml:space="preserve">became </w:t>
      </w:r>
      <w:r w:rsidR="00A37343">
        <w:t>unclear</w:t>
      </w:r>
      <w:r w:rsidR="00A16484">
        <w:t xml:space="preserve"> (and remained unclear) </w:t>
      </w:r>
      <w:r w:rsidR="00A37343">
        <w:t xml:space="preserve">in the case of </w:t>
      </w:r>
      <w:r w:rsidR="00164CB1">
        <w:t xml:space="preserve">Event A4 linked to a </w:t>
      </w:r>
      <w:r w:rsidR="00164CB1" w:rsidRPr="00C25A74">
        <w:rPr>
          <w:i/>
        </w:rPr>
        <w:t>measObject</w:t>
      </w:r>
      <w:r w:rsidR="00164CB1">
        <w:t xml:space="preserve"> associated to a serving frequency.</w:t>
      </w:r>
      <w:r w:rsidR="00A37343">
        <w:t xml:space="preserve"> </w:t>
      </w:r>
    </w:p>
    <w:p w14:paraId="01392BAF" w14:textId="094D9B30" w:rsidR="00A16484" w:rsidRDefault="00A16484" w:rsidP="002D2A8D">
      <w:r>
        <w:t xml:space="preserve">In RAN2#101 it was proposed to clarify that e.g. by simply stating that a </w:t>
      </w:r>
      <w:r w:rsidRPr="00A16484">
        <w:rPr>
          <w:b/>
        </w:rPr>
        <w:t xml:space="preserve">neighboring cell = any cell except an </w:t>
      </w:r>
      <w:r>
        <w:rPr>
          <w:b/>
        </w:rPr>
        <w:t xml:space="preserve">NR </w:t>
      </w:r>
      <w:r w:rsidRPr="00A16484">
        <w:rPr>
          <w:b/>
        </w:rPr>
        <w:t>SpCell</w:t>
      </w:r>
      <w:r>
        <w:t xml:space="preserve"> (i.e. an NR PCell or NR PSCell in EN-DC). The consequence is that if A4 is configured for a serving frequency MO, a serving cell can also trigger an A4 event, which in our view is the behavior of most of the UEs anyway in LTE.</w:t>
      </w:r>
    </w:p>
    <w:p w14:paraId="36A4CD8E" w14:textId="65433031" w:rsidR="00A16484" w:rsidRDefault="00A16484" w:rsidP="002D2A8D">
      <w:r>
        <w:t>A significant group of companies supported the proposal and, the reason this could not be easily agreed was that few companies have argued that with the clarification there is no way to exclude an SCell of A4 event. Companies are welcome to explain whether that is a real issue and why.</w:t>
      </w:r>
    </w:p>
    <w:p w14:paraId="68E25D31" w14:textId="0FE1B80F" w:rsidR="00EE0C1B" w:rsidRPr="00A16484" w:rsidRDefault="00A16484" w:rsidP="002D2A8D">
      <w:pPr>
        <w:rPr>
          <w:b/>
        </w:rPr>
      </w:pPr>
      <w:r w:rsidRPr="00A16484">
        <w:rPr>
          <w:b/>
        </w:rPr>
        <w:t xml:space="preserve">Discussion on A4: </w:t>
      </w:r>
      <w:r w:rsidR="00CB3CC1">
        <w:rPr>
          <w:b/>
        </w:rPr>
        <w:t xml:space="preserve">What issue could possibly exist </w:t>
      </w:r>
      <w:r w:rsidRPr="00A16484">
        <w:rPr>
          <w:b/>
        </w:rPr>
        <w:t xml:space="preserve">if </w:t>
      </w:r>
      <w:r w:rsidR="00CB3CC1">
        <w:rPr>
          <w:b/>
        </w:rPr>
        <w:t xml:space="preserve">we </w:t>
      </w:r>
      <w:r w:rsidRPr="00A16484">
        <w:rPr>
          <w:b/>
        </w:rPr>
        <w:t>clarif</w:t>
      </w:r>
      <w:r w:rsidR="00CB3CC1">
        <w:rPr>
          <w:b/>
        </w:rPr>
        <w:t>y</w:t>
      </w:r>
      <w:r w:rsidRPr="00A16484">
        <w:rPr>
          <w:b/>
        </w:rPr>
        <w:t xml:space="preserve"> that a serving cell possibly triggers A4?</w:t>
      </w:r>
    </w:p>
    <w:tbl>
      <w:tblPr>
        <w:tblStyle w:val="TableGrid"/>
        <w:tblW w:w="0" w:type="auto"/>
        <w:tblLook w:val="04A0" w:firstRow="1" w:lastRow="0" w:firstColumn="1" w:lastColumn="0" w:noHBand="0" w:noVBand="1"/>
      </w:tblPr>
      <w:tblGrid>
        <w:gridCol w:w="1838"/>
        <w:gridCol w:w="7791"/>
      </w:tblGrid>
      <w:tr w:rsidR="00EE0C1B" w14:paraId="437118D1" w14:textId="77777777" w:rsidTr="00DA100B">
        <w:tc>
          <w:tcPr>
            <w:tcW w:w="1838" w:type="dxa"/>
            <w:shd w:val="clear" w:color="auto" w:fill="DEEAF6" w:themeFill="accent1" w:themeFillTint="33"/>
          </w:tcPr>
          <w:p w14:paraId="57338EF2" w14:textId="6AF1CEA8" w:rsidR="00EE0C1B" w:rsidRPr="00EE0C1B" w:rsidRDefault="00EE0C1B" w:rsidP="002D2A8D">
            <w:pPr>
              <w:rPr>
                <w:b/>
              </w:rPr>
            </w:pPr>
            <w:r w:rsidRPr="00EE0C1B">
              <w:rPr>
                <w:b/>
              </w:rPr>
              <w:t>Company</w:t>
            </w:r>
          </w:p>
        </w:tc>
        <w:tc>
          <w:tcPr>
            <w:tcW w:w="7791" w:type="dxa"/>
            <w:shd w:val="clear" w:color="auto" w:fill="DEEAF6" w:themeFill="accent1" w:themeFillTint="33"/>
          </w:tcPr>
          <w:p w14:paraId="6FFFCD3A" w14:textId="299B4440" w:rsidR="00EE0C1B" w:rsidRPr="00EE0C1B" w:rsidRDefault="00EE0C1B" w:rsidP="002D2A8D">
            <w:pPr>
              <w:rPr>
                <w:b/>
              </w:rPr>
            </w:pPr>
            <w:r w:rsidRPr="00EE0C1B">
              <w:rPr>
                <w:b/>
              </w:rPr>
              <w:t>Comments</w:t>
            </w:r>
          </w:p>
        </w:tc>
      </w:tr>
      <w:tr w:rsidR="00EE0C1B" w14:paraId="0C339382" w14:textId="77777777" w:rsidTr="00DA100B">
        <w:tc>
          <w:tcPr>
            <w:tcW w:w="1838" w:type="dxa"/>
          </w:tcPr>
          <w:p w14:paraId="64D1CF62" w14:textId="71A1B469" w:rsidR="00EE0C1B" w:rsidRDefault="00DA100B" w:rsidP="002D2A8D">
            <w:r>
              <w:t>MediaTek</w:t>
            </w:r>
          </w:p>
        </w:tc>
        <w:tc>
          <w:tcPr>
            <w:tcW w:w="7791" w:type="dxa"/>
          </w:tcPr>
          <w:p w14:paraId="600DCB0D" w14:textId="16827813" w:rsidR="00EE0C1B" w:rsidRDefault="00FD4DA0" w:rsidP="002D2A8D">
            <w:r>
              <w:t>This is change</w:t>
            </w:r>
            <w:r w:rsidR="00464DD7">
              <w:t xml:space="preserve"> of the definition of “neighbor</w:t>
            </w:r>
            <w:r w:rsidR="00E04EC9">
              <w:t xml:space="preserve"> </w:t>
            </w:r>
            <w:r w:rsidR="00464DD7">
              <w:t>cell</w:t>
            </w:r>
            <w:r w:rsidR="00E04EC9">
              <w:t>”</w:t>
            </w:r>
            <w:r>
              <w:t xml:space="preserve"> in event A4. </w:t>
            </w:r>
            <w:r w:rsidR="00F764CA">
              <w:t xml:space="preserve">We would like to clarify that this is not the UE behavior in current LTE network. If we change the definition in LTE RRC, it will have </w:t>
            </w:r>
            <w:r w:rsidR="00C12AC6">
              <w:t xml:space="preserve">backward </w:t>
            </w:r>
            <w:r w:rsidR="00F764CA">
              <w:t>compatible issue. We are fine if majority want to change the neighbor cell definition in NR event A4.</w:t>
            </w:r>
          </w:p>
        </w:tc>
      </w:tr>
      <w:tr w:rsidR="00EE0C1B" w14:paraId="7D80AAE7" w14:textId="77777777" w:rsidTr="00DA100B">
        <w:tc>
          <w:tcPr>
            <w:tcW w:w="1838" w:type="dxa"/>
          </w:tcPr>
          <w:p w14:paraId="31AE9747" w14:textId="194CA7A3" w:rsidR="00EE0C1B" w:rsidRDefault="00B452AB" w:rsidP="002D2A8D">
            <w:r>
              <w:t>Intel</w:t>
            </w:r>
          </w:p>
        </w:tc>
        <w:tc>
          <w:tcPr>
            <w:tcW w:w="7791" w:type="dxa"/>
          </w:tcPr>
          <w:p w14:paraId="11EE495A" w14:textId="086A88A1" w:rsidR="00EE0C1B" w:rsidRDefault="00B452AB" w:rsidP="00B452AB">
            <w:r>
              <w:t>Agree with MediaTek, our understanding of neighboring cell is “NOT” any serving cells. We prefer to keep this as in LTE so we don’t create overlapping events.</w:t>
            </w:r>
            <w:r w:rsidR="00D91676">
              <w:t xml:space="preserve"> Network can configure A1 to achieve the same thing.</w:t>
            </w:r>
          </w:p>
        </w:tc>
      </w:tr>
      <w:tr w:rsidR="00EE0C1B" w14:paraId="76AB198C" w14:textId="77777777" w:rsidTr="00DA100B">
        <w:tc>
          <w:tcPr>
            <w:tcW w:w="1838" w:type="dxa"/>
          </w:tcPr>
          <w:p w14:paraId="4C295C60" w14:textId="77777777" w:rsidR="00EE0C1B" w:rsidRDefault="00EE0C1B" w:rsidP="002D2A8D"/>
        </w:tc>
        <w:tc>
          <w:tcPr>
            <w:tcW w:w="7791" w:type="dxa"/>
          </w:tcPr>
          <w:p w14:paraId="69C99D79" w14:textId="77777777" w:rsidR="00EE0C1B" w:rsidRDefault="00EE0C1B" w:rsidP="002D2A8D"/>
        </w:tc>
      </w:tr>
      <w:tr w:rsidR="00EE0C1B" w14:paraId="58FD5B9F" w14:textId="77777777" w:rsidTr="00DA100B">
        <w:tc>
          <w:tcPr>
            <w:tcW w:w="1838" w:type="dxa"/>
          </w:tcPr>
          <w:p w14:paraId="1D0013F6" w14:textId="77777777" w:rsidR="00EE0C1B" w:rsidRDefault="00EE0C1B" w:rsidP="002D2A8D"/>
        </w:tc>
        <w:tc>
          <w:tcPr>
            <w:tcW w:w="7791" w:type="dxa"/>
          </w:tcPr>
          <w:p w14:paraId="270A80D6" w14:textId="77777777" w:rsidR="00EE0C1B" w:rsidRDefault="00EE0C1B" w:rsidP="002D2A8D"/>
        </w:tc>
      </w:tr>
    </w:tbl>
    <w:p w14:paraId="67FA3F5C" w14:textId="4263E96D" w:rsidR="00EE0C1B" w:rsidRDefault="00EE0C1B" w:rsidP="00EE0C1B">
      <w:r>
        <w:t xml:space="preserve"> </w:t>
      </w:r>
    </w:p>
    <w:p w14:paraId="2E394646" w14:textId="27EAF4AC" w:rsidR="00AC38AB" w:rsidRPr="00F5221F" w:rsidRDefault="00AC38AB" w:rsidP="00EE0C1B">
      <w:pPr>
        <w:rPr>
          <w:b/>
        </w:rPr>
      </w:pPr>
      <w:r w:rsidRPr="00F5221F">
        <w:rPr>
          <w:b/>
        </w:rPr>
        <w:t xml:space="preserve">Summary: For event A4 in NR, </w:t>
      </w:r>
      <w:r w:rsidR="006B5C4D">
        <w:rPr>
          <w:b/>
        </w:rPr>
        <w:t xml:space="preserve">no </w:t>
      </w:r>
      <w:r w:rsidRPr="00F5221F">
        <w:rPr>
          <w:b/>
        </w:rPr>
        <w:t>company reported any technical concern with the interpretation of neighbors as any cell except the PCell i.e. SCell could also trigger event A4.</w:t>
      </w:r>
    </w:p>
    <w:p w14:paraId="727E9122" w14:textId="21676594" w:rsidR="00AC38AB" w:rsidRPr="00F5221F" w:rsidRDefault="00F5221F" w:rsidP="00EE0C1B">
      <w:pPr>
        <w:rPr>
          <w:b/>
        </w:rPr>
      </w:pPr>
      <w:r w:rsidRPr="00F5221F">
        <w:rPr>
          <w:b/>
        </w:rPr>
        <w:t xml:space="preserve">Only one </w:t>
      </w:r>
      <w:r w:rsidR="00AC38AB" w:rsidRPr="00F5221F">
        <w:rPr>
          <w:b/>
        </w:rPr>
        <w:t>compan</w:t>
      </w:r>
      <w:r w:rsidRPr="00F5221F">
        <w:rPr>
          <w:b/>
        </w:rPr>
        <w:t xml:space="preserve">y </w:t>
      </w:r>
      <w:r w:rsidR="00AC38AB" w:rsidRPr="00F5221F">
        <w:rPr>
          <w:b/>
        </w:rPr>
        <w:t>expressed the wish to maintain the same interpretation as in LTE, although there is a different understanding what this is.</w:t>
      </w:r>
    </w:p>
    <w:p w14:paraId="0EFE252A" w14:textId="15FF6F28" w:rsidR="00F5221F" w:rsidRPr="00F5221F" w:rsidRDefault="00F5221F" w:rsidP="00F5221F">
      <w:pPr>
        <w:rPr>
          <w:b/>
          <w:sz w:val="24"/>
        </w:rPr>
      </w:pPr>
      <w:r w:rsidRPr="00F5221F">
        <w:rPr>
          <w:b/>
          <w:sz w:val="24"/>
          <w:highlight w:val="yellow"/>
        </w:rPr>
        <w:t>Proposal</w:t>
      </w:r>
      <w:r>
        <w:rPr>
          <w:b/>
          <w:sz w:val="24"/>
          <w:highlight w:val="yellow"/>
        </w:rPr>
        <w:t xml:space="preserve"> 1</w:t>
      </w:r>
      <w:r w:rsidRPr="00F5221F">
        <w:rPr>
          <w:b/>
          <w:sz w:val="24"/>
          <w:highlight w:val="yellow"/>
        </w:rPr>
        <w:t>:</w:t>
      </w:r>
      <w:r w:rsidR="006B5C4D">
        <w:rPr>
          <w:b/>
          <w:sz w:val="24"/>
          <w:highlight w:val="yellow"/>
        </w:rPr>
        <w:t xml:space="preserve"> </w:t>
      </w:r>
      <w:r w:rsidRPr="00F5221F">
        <w:rPr>
          <w:b/>
          <w:sz w:val="24"/>
          <w:highlight w:val="yellow"/>
        </w:rPr>
        <w:t xml:space="preserve">SCell or </w:t>
      </w:r>
      <w:proofErr w:type="spellStart"/>
      <w:r w:rsidRPr="00F5221F">
        <w:rPr>
          <w:b/>
          <w:sz w:val="24"/>
          <w:highlight w:val="yellow"/>
        </w:rPr>
        <w:t>PScell</w:t>
      </w:r>
      <w:proofErr w:type="spellEnd"/>
      <w:r w:rsidRPr="00F5221F">
        <w:rPr>
          <w:b/>
          <w:sz w:val="24"/>
          <w:highlight w:val="yellow"/>
        </w:rPr>
        <w:t xml:space="preserve"> can trigger A4 event.</w:t>
      </w:r>
    </w:p>
    <w:p w14:paraId="16B092D8" w14:textId="77777777" w:rsidR="00F5221F" w:rsidRDefault="00F5221F" w:rsidP="00EE0C1B">
      <w:pPr>
        <w:rPr>
          <w:b/>
        </w:rPr>
      </w:pPr>
    </w:p>
    <w:p w14:paraId="25517066" w14:textId="2D78662A" w:rsidR="00CB3CC1" w:rsidRDefault="00CB3CC1" w:rsidP="005C40BB">
      <w:pPr>
        <w:pStyle w:val="Heading1"/>
      </w:pPr>
      <w:r>
        <w:t>Discussion on A5 event (</w:t>
      </w:r>
      <w:r w:rsidR="005C40BB" w:rsidRPr="005C40BB">
        <w:t xml:space="preserve">SpCell </w:t>
      </w:r>
      <w:r w:rsidR="005C40BB">
        <w:t xml:space="preserve">&lt; </w:t>
      </w:r>
      <w:r w:rsidR="005C40BB" w:rsidRPr="005C40BB">
        <w:t xml:space="preserve">threshold1 and neighbour </w:t>
      </w:r>
      <w:r w:rsidR="005C40BB">
        <w:t xml:space="preserve">&gt; </w:t>
      </w:r>
      <w:r w:rsidR="005C40BB" w:rsidRPr="005C40BB">
        <w:t>threshold2</w:t>
      </w:r>
      <w:r>
        <w:t>)</w:t>
      </w:r>
    </w:p>
    <w:p w14:paraId="3180C736" w14:textId="52420311" w:rsidR="005C40BB" w:rsidRDefault="00AA1814" w:rsidP="00CB3CC1">
      <w:r>
        <w:t xml:space="preserve">In </w:t>
      </w:r>
      <w:r w:rsidR="005C40BB">
        <w:t xml:space="preserve">principle, a similar issue as described in Section 2 exists for Event 5, as there could be UEs in CA scenarios with SCells on serving frequencies. </w:t>
      </w:r>
      <w:r w:rsidR="00CB3CC1">
        <w:t xml:space="preserve">In </w:t>
      </w:r>
      <w:r w:rsidR="005C40BB">
        <w:t xml:space="preserve">current NR specifications (as in </w:t>
      </w:r>
      <w:r w:rsidR="00CB3CC1">
        <w:t>36.331</w:t>
      </w:r>
      <w:r w:rsidR="005C40BB">
        <w:t>)</w:t>
      </w:r>
      <w:r w:rsidR="00CB3CC1">
        <w:t>,</w:t>
      </w:r>
      <w:r w:rsidR="005C40BB">
        <w:t xml:space="preserve"> </w:t>
      </w:r>
      <w:r w:rsidR="00B57667">
        <w:t xml:space="preserve">we have the following: </w:t>
      </w:r>
    </w:p>
    <w:p w14:paraId="4FEB17E3" w14:textId="77777777" w:rsidR="005C40BB" w:rsidRPr="00000A61" w:rsidRDefault="005C40BB" w:rsidP="005C40BB">
      <w:pPr>
        <w:pStyle w:val="B5"/>
        <w:ind w:left="1418" w:firstLine="0"/>
      </w:pPr>
      <w:r w:rsidRPr="00000A61">
        <w:t>5&gt;</w:t>
      </w:r>
      <w:r w:rsidRPr="00000A61">
        <w:tab/>
      </w:r>
      <w:r w:rsidRPr="00DD5395">
        <w:t xml:space="preserve">for events involving a serving cell on one frequency and </w:t>
      </w:r>
      <w:proofErr w:type="spellStart"/>
      <w:r w:rsidRPr="00DD5395">
        <w:t>neighbours</w:t>
      </w:r>
      <w:proofErr w:type="spellEnd"/>
      <w:r w:rsidRPr="00DD5395">
        <w:t xml:space="preserve"> on another frequency, </w:t>
      </w:r>
      <w:r w:rsidRPr="005C40BB">
        <w:rPr>
          <w:highlight w:val="yellow"/>
        </w:rPr>
        <w:t>consider the serving cell on the other frequency as a neighbouring cell</w:t>
      </w:r>
      <w:r w:rsidRPr="00DD5395">
        <w:t>;</w:t>
      </w:r>
    </w:p>
    <w:p w14:paraId="13611520" w14:textId="4F43021C" w:rsidR="00185E4D" w:rsidRDefault="005B758F" w:rsidP="00CB3CC1">
      <w:r>
        <w:t xml:space="preserve">Compared to A3, A5 event can be used to avoid a good neighbor cell to unnecessarily trigger a measurement report if the SpCell is also </w:t>
      </w:r>
      <w:r w:rsidR="008E4FDA">
        <w:t xml:space="preserve">very </w:t>
      </w:r>
      <w:r>
        <w:t xml:space="preserve">good (i.e. not only rely on a relative quality, as in A3). </w:t>
      </w:r>
      <w:r w:rsidR="008E4FDA">
        <w:t xml:space="preserve">According to the existing definition, </w:t>
      </w:r>
      <w:r w:rsidR="005C40BB">
        <w:t xml:space="preserve">if network configures a </w:t>
      </w:r>
      <w:r w:rsidR="005C40BB" w:rsidRPr="005C40BB">
        <w:rPr>
          <w:i/>
        </w:rPr>
        <w:t>measObject</w:t>
      </w:r>
      <w:r w:rsidR="005C40BB">
        <w:t xml:space="preserve"> </w:t>
      </w:r>
      <w:r w:rsidR="00185E4D">
        <w:t xml:space="preserve">on a </w:t>
      </w:r>
      <w:r w:rsidR="005C40BB">
        <w:t>non</w:t>
      </w:r>
      <w:r w:rsidR="008E4FDA">
        <w:t>-</w:t>
      </w:r>
      <w:r w:rsidR="005C40BB">
        <w:t xml:space="preserve">serving frequency associated to an SCell, when the condition is fulfilled for that serving cell the </w:t>
      </w:r>
      <w:r w:rsidR="008E4FDA">
        <w:t xml:space="preserve">A5 </w:t>
      </w:r>
      <w:r w:rsidR="005C40BB">
        <w:t xml:space="preserve">event is triggered. </w:t>
      </w:r>
    </w:p>
    <w:p w14:paraId="16BE659B" w14:textId="000C54A7" w:rsidR="00185E4D" w:rsidRDefault="00185E4D" w:rsidP="00CB3CC1">
      <w:r>
        <w:t>On the other hand, the definition of the A5 event says the following:</w:t>
      </w:r>
    </w:p>
    <w:p w14:paraId="00C90426" w14:textId="77777777" w:rsidR="00185E4D" w:rsidRPr="00A21C0F" w:rsidRDefault="00185E4D" w:rsidP="00185E4D">
      <w:pPr>
        <w:pStyle w:val="NO"/>
      </w:pPr>
      <w:r w:rsidRPr="00185E4D">
        <w:rPr>
          <w:highlight w:val="yellow"/>
          <w:lang w:eastAsia="ko-KR"/>
        </w:rPr>
        <w:t>NOTE:</w:t>
      </w:r>
      <w:r w:rsidRPr="00185E4D">
        <w:rPr>
          <w:highlight w:val="yellow"/>
          <w:lang w:eastAsia="ko-KR"/>
        </w:rPr>
        <w:tab/>
        <w:t xml:space="preserve">The cell(s) that triggers the event is on the frequency indicated in the associated </w:t>
      </w:r>
      <w:r w:rsidRPr="00185E4D">
        <w:rPr>
          <w:i/>
          <w:highlight w:val="yellow"/>
          <w:lang w:eastAsia="ko-KR"/>
        </w:rPr>
        <w:t>measObjectNR</w:t>
      </w:r>
      <w:r w:rsidRPr="00185E4D">
        <w:rPr>
          <w:highlight w:val="yellow"/>
          <w:lang w:eastAsia="ko-KR"/>
        </w:rPr>
        <w:t xml:space="preserve"> which may be different from the frequency used by the NR SpCell.</w:t>
      </w:r>
    </w:p>
    <w:p w14:paraId="16D0F009" w14:textId="3A50892E" w:rsidR="008E4FDA" w:rsidRDefault="008E4FDA" w:rsidP="00CB3CC1">
      <w:r>
        <w:t xml:space="preserve">As it can be seen, there is </w:t>
      </w:r>
      <w:r w:rsidR="00185E4D">
        <w:t>no restriction saying that the measObject cannot be in the serving frequency or in the frequency of any SpCell.</w:t>
      </w:r>
      <w:r>
        <w:t xml:space="preserve"> In that case, measObject equals to a SpCell </w:t>
      </w:r>
      <w:r w:rsidRPr="008E4FDA">
        <w:rPr>
          <w:i/>
        </w:rPr>
        <w:t>measObject</w:t>
      </w:r>
      <w:r>
        <w:t>, and</w:t>
      </w:r>
      <w:r w:rsidR="00AB7AD6">
        <w:t xml:space="preserve"> cells which are not the SpCell should also be considered as neighbor. Hence, in summary, any cell that is not the SpCell is a neighboring regardless which measurement object is configured (same or different as the SpCell).   </w:t>
      </w:r>
    </w:p>
    <w:p w14:paraId="13ED70D2" w14:textId="1CD2330B" w:rsidR="005C40BB" w:rsidRPr="00A16484" w:rsidRDefault="005C40BB" w:rsidP="005C40BB">
      <w:pPr>
        <w:rPr>
          <w:b/>
        </w:rPr>
      </w:pPr>
      <w:r w:rsidRPr="00A16484">
        <w:rPr>
          <w:b/>
        </w:rPr>
        <w:t>Discussion on A</w:t>
      </w:r>
      <w:r w:rsidR="00185E4D">
        <w:rPr>
          <w:b/>
        </w:rPr>
        <w:t>5</w:t>
      </w:r>
      <w:r w:rsidRPr="00A16484">
        <w:rPr>
          <w:b/>
        </w:rPr>
        <w:t xml:space="preserve">: </w:t>
      </w:r>
      <w:bookmarkStart w:id="0" w:name="_Hlk511896979"/>
      <w:r w:rsidR="00E45710" w:rsidRPr="00E45710">
        <w:rPr>
          <w:b/>
        </w:rPr>
        <w:t xml:space="preserve">What issue could possibly exist if we clarify that </w:t>
      </w:r>
      <w:r w:rsidR="00E45710">
        <w:rPr>
          <w:b/>
        </w:rPr>
        <w:t>neighbouring = any cell that is not an SpCell in A5</w:t>
      </w:r>
      <w:r w:rsidR="00E45710" w:rsidRPr="00E45710">
        <w:rPr>
          <w:b/>
        </w:rPr>
        <w:t>?</w:t>
      </w:r>
    </w:p>
    <w:tbl>
      <w:tblPr>
        <w:tblStyle w:val="TableGrid"/>
        <w:tblW w:w="0" w:type="auto"/>
        <w:tblLook w:val="04A0" w:firstRow="1" w:lastRow="0" w:firstColumn="1" w:lastColumn="0" w:noHBand="0" w:noVBand="1"/>
      </w:tblPr>
      <w:tblGrid>
        <w:gridCol w:w="1696"/>
        <w:gridCol w:w="7933"/>
      </w:tblGrid>
      <w:tr w:rsidR="005C40BB" w14:paraId="57F6D94F" w14:textId="77777777" w:rsidTr="00464DD7">
        <w:tc>
          <w:tcPr>
            <w:tcW w:w="1696" w:type="dxa"/>
            <w:shd w:val="clear" w:color="auto" w:fill="DEEAF6" w:themeFill="accent1" w:themeFillTint="33"/>
          </w:tcPr>
          <w:bookmarkEnd w:id="0"/>
          <w:p w14:paraId="170DF77E" w14:textId="77777777" w:rsidR="005C40BB" w:rsidRPr="00EE0C1B" w:rsidRDefault="005C40BB" w:rsidP="00730964">
            <w:pPr>
              <w:rPr>
                <w:b/>
              </w:rPr>
            </w:pPr>
            <w:r w:rsidRPr="00EE0C1B">
              <w:rPr>
                <w:b/>
              </w:rPr>
              <w:t>Company</w:t>
            </w:r>
          </w:p>
        </w:tc>
        <w:tc>
          <w:tcPr>
            <w:tcW w:w="7933" w:type="dxa"/>
            <w:shd w:val="clear" w:color="auto" w:fill="DEEAF6" w:themeFill="accent1" w:themeFillTint="33"/>
          </w:tcPr>
          <w:p w14:paraId="0DDC5007" w14:textId="77777777" w:rsidR="005C40BB" w:rsidRPr="00EE0C1B" w:rsidRDefault="005C40BB" w:rsidP="00730964">
            <w:pPr>
              <w:rPr>
                <w:b/>
              </w:rPr>
            </w:pPr>
            <w:r w:rsidRPr="00EE0C1B">
              <w:rPr>
                <w:b/>
              </w:rPr>
              <w:t>Comments</w:t>
            </w:r>
          </w:p>
        </w:tc>
      </w:tr>
      <w:tr w:rsidR="005C40BB" w14:paraId="29990CD8" w14:textId="77777777" w:rsidTr="00464DD7">
        <w:tc>
          <w:tcPr>
            <w:tcW w:w="1696" w:type="dxa"/>
          </w:tcPr>
          <w:p w14:paraId="33FB9174" w14:textId="1EA02441" w:rsidR="005C40BB" w:rsidRDefault="00DA100B" w:rsidP="00730964">
            <w:r>
              <w:t>MediaTek</w:t>
            </w:r>
          </w:p>
        </w:tc>
        <w:tc>
          <w:tcPr>
            <w:tcW w:w="7933" w:type="dxa"/>
          </w:tcPr>
          <w:p w14:paraId="5507DC3E" w14:textId="26453B1F" w:rsidR="00E04EC9" w:rsidRDefault="00530E6F" w:rsidP="00730964">
            <w:r>
              <w:t>Since we already have the text “</w:t>
            </w:r>
            <w:r w:rsidRPr="00DD5395">
              <w:t xml:space="preserve">for events involving a serving cell on one frequency and </w:t>
            </w:r>
            <w:proofErr w:type="spellStart"/>
            <w:r w:rsidRPr="00DD5395">
              <w:t>neighbours</w:t>
            </w:r>
            <w:proofErr w:type="spellEnd"/>
            <w:r w:rsidRPr="00DD5395">
              <w:t xml:space="preserve"> on another frequency, </w:t>
            </w:r>
            <w:r w:rsidRPr="005C40BB">
              <w:rPr>
                <w:highlight w:val="yellow"/>
              </w:rPr>
              <w:t>consider the serving cell on the other frequency as a neighbouring cell</w:t>
            </w:r>
            <w:r>
              <w:t>”</w:t>
            </w:r>
            <w:r w:rsidR="00C12AC6">
              <w:t xml:space="preserve"> both in LTE and NR</w:t>
            </w:r>
            <w:r>
              <w:t>, I don’t under</w:t>
            </w:r>
            <w:r w:rsidR="00703697">
              <w:t xml:space="preserve">stand why we need this further change. If this </w:t>
            </w:r>
            <w:r w:rsidR="00C12AC6">
              <w:t xml:space="preserve">change </w:t>
            </w:r>
            <w:r w:rsidR="00703697">
              <w:t xml:space="preserve">is required for event A5, why this is not required </w:t>
            </w:r>
            <w:r w:rsidR="00C12AC6">
              <w:t>for event A3? Again, we think that we should not change the definition in LTE measurement event, and we are open for discussion on NR event.</w:t>
            </w:r>
          </w:p>
        </w:tc>
      </w:tr>
      <w:tr w:rsidR="005C40BB" w14:paraId="78977C09" w14:textId="77777777" w:rsidTr="00464DD7">
        <w:tc>
          <w:tcPr>
            <w:tcW w:w="1696" w:type="dxa"/>
          </w:tcPr>
          <w:p w14:paraId="6F8E7788" w14:textId="14576BB9" w:rsidR="005C40BB" w:rsidRDefault="00B452AB" w:rsidP="00730964">
            <w:r>
              <w:t>Intel</w:t>
            </w:r>
          </w:p>
        </w:tc>
        <w:tc>
          <w:tcPr>
            <w:tcW w:w="7933" w:type="dxa"/>
          </w:tcPr>
          <w:p w14:paraId="478C9E08" w14:textId="59F9A5EE" w:rsidR="005C40BB" w:rsidRDefault="00B452AB" w:rsidP="00730964">
            <w:r>
              <w:t>Similar comment as in A4 event, we think that by changing the definition, it becomes a new event and create overlapping with other event.</w:t>
            </w:r>
          </w:p>
        </w:tc>
      </w:tr>
      <w:tr w:rsidR="005C40BB" w14:paraId="23314A38" w14:textId="77777777" w:rsidTr="00464DD7">
        <w:tc>
          <w:tcPr>
            <w:tcW w:w="1696" w:type="dxa"/>
          </w:tcPr>
          <w:p w14:paraId="667E4B05" w14:textId="77777777" w:rsidR="005C40BB" w:rsidRDefault="005C40BB" w:rsidP="00730964"/>
        </w:tc>
        <w:tc>
          <w:tcPr>
            <w:tcW w:w="7933" w:type="dxa"/>
          </w:tcPr>
          <w:p w14:paraId="1610F26F" w14:textId="77777777" w:rsidR="005C40BB" w:rsidRDefault="005C40BB" w:rsidP="00730964"/>
        </w:tc>
      </w:tr>
      <w:tr w:rsidR="005C40BB" w14:paraId="7C622EC9" w14:textId="77777777" w:rsidTr="00464DD7">
        <w:tc>
          <w:tcPr>
            <w:tcW w:w="1696" w:type="dxa"/>
          </w:tcPr>
          <w:p w14:paraId="34F8FB2B" w14:textId="77777777" w:rsidR="005C40BB" w:rsidRDefault="005C40BB" w:rsidP="00730964"/>
        </w:tc>
        <w:tc>
          <w:tcPr>
            <w:tcW w:w="7933" w:type="dxa"/>
          </w:tcPr>
          <w:p w14:paraId="4EC87CA2" w14:textId="77777777" w:rsidR="005C40BB" w:rsidRDefault="005C40BB" w:rsidP="00730964"/>
        </w:tc>
      </w:tr>
    </w:tbl>
    <w:p w14:paraId="22A529AF" w14:textId="053AE2AD" w:rsidR="00A37343" w:rsidRDefault="005C40BB" w:rsidP="002D2A8D">
      <w:r>
        <w:t xml:space="preserve"> </w:t>
      </w:r>
    </w:p>
    <w:p w14:paraId="0F068425" w14:textId="47ED3EFF" w:rsidR="00F5221F" w:rsidRPr="00F5221F" w:rsidRDefault="00F5221F" w:rsidP="00F5221F">
      <w:pPr>
        <w:rPr>
          <w:b/>
          <w:sz w:val="24"/>
        </w:rPr>
      </w:pPr>
      <w:r w:rsidRPr="00F5221F">
        <w:rPr>
          <w:b/>
          <w:sz w:val="24"/>
          <w:highlight w:val="yellow"/>
        </w:rPr>
        <w:t>Proposal</w:t>
      </w:r>
      <w:r>
        <w:rPr>
          <w:b/>
          <w:sz w:val="24"/>
          <w:highlight w:val="yellow"/>
        </w:rPr>
        <w:t xml:space="preserve"> </w:t>
      </w:r>
      <w:r>
        <w:rPr>
          <w:b/>
          <w:sz w:val="24"/>
          <w:highlight w:val="yellow"/>
        </w:rPr>
        <w:t>2</w:t>
      </w:r>
      <w:r w:rsidRPr="00F5221F">
        <w:rPr>
          <w:b/>
          <w:sz w:val="24"/>
          <w:highlight w:val="yellow"/>
        </w:rPr>
        <w:t xml:space="preserve">: </w:t>
      </w:r>
      <w:r>
        <w:rPr>
          <w:b/>
          <w:sz w:val="24"/>
          <w:highlight w:val="yellow"/>
        </w:rPr>
        <w:t xml:space="preserve">Event </w:t>
      </w:r>
      <w:r w:rsidRPr="00F5221F">
        <w:rPr>
          <w:b/>
          <w:sz w:val="24"/>
          <w:highlight w:val="yellow"/>
        </w:rPr>
        <w:t>A</w:t>
      </w:r>
      <w:r>
        <w:rPr>
          <w:b/>
          <w:sz w:val="24"/>
          <w:highlight w:val="yellow"/>
        </w:rPr>
        <w:t>5</w:t>
      </w:r>
      <w:r w:rsidRPr="00F5221F">
        <w:rPr>
          <w:b/>
          <w:sz w:val="24"/>
          <w:highlight w:val="yellow"/>
        </w:rPr>
        <w:t xml:space="preserve"> </w:t>
      </w:r>
      <w:r>
        <w:rPr>
          <w:b/>
          <w:sz w:val="24"/>
          <w:highlight w:val="yellow"/>
        </w:rPr>
        <w:t xml:space="preserve">can trigger by an </w:t>
      </w:r>
      <w:r w:rsidRPr="00F5221F">
        <w:rPr>
          <w:b/>
          <w:sz w:val="24"/>
          <w:highlight w:val="yellow"/>
        </w:rPr>
        <w:t xml:space="preserve">SCell </w:t>
      </w:r>
      <w:r>
        <w:rPr>
          <w:b/>
          <w:sz w:val="24"/>
          <w:highlight w:val="yellow"/>
        </w:rPr>
        <w:t>on the associated MO</w:t>
      </w:r>
      <w:r w:rsidRPr="00F5221F">
        <w:rPr>
          <w:b/>
          <w:sz w:val="24"/>
          <w:highlight w:val="yellow"/>
        </w:rPr>
        <w:t>.</w:t>
      </w:r>
    </w:p>
    <w:p w14:paraId="43938FF5" w14:textId="77777777" w:rsidR="00F5221F" w:rsidRDefault="00F5221F" w:rsidP="002D2A8D"/>
    <w:p w14:paraId="0E89A993" w14:textId="5DA55A06" w:rsidR="00AC38AB" w:rsidRDefault="00AC38AB" w:rsidP="00AC38AB">
      <w:pPr>
        <w:rPr>
          <w:b/>
        </w:rPr>
      </w:pPr>
      <w:r w:rsidRPr="00AC38AB">
        <w:rPr>
          <w:b/>
        </w:rPr>
        <w:t xml:space="preserve">Summary: For event </w:t>
      </w:r>
      <w:r>
        <w:rPr>
          <w:b/>
        </w:rPr>
        <w:t xml:space="preserve">A5 </w:t>
      </w:r>
      <w:r w:rsidRPr="00AC38AB">
        <w:rPr>
          <w:b/>
        </w:rPr>
        <w:t>in NR, only two companies responded (in addition to the rapporteur). No company reported any technical concern with the interpretation of neighbor</w:t>
      </w:r>
      <w:r>
        <w:rPr>
          <w:b/>
        </w:rPr>
        <w:t>s as any cell except the PCell i.e. SCell could also trigger event A4.</w:t>
      </w:r>
    </w:p>
    <w:p w14:paraId="523B1982" w14:textId="77777777" w:rsidR="00AC38AB" w:rsidRDefault="00AC38AB" w:rsidP="00AC38AB">
      <w:pPr>
        <w:rPr>
          <w:b/>
        </w:rPr>
      </w:pPr>
      <w:r>
        <w:rPr>
          <w:b/>
        </w:rPr>
        <w:t>These two companies expressed the wish to maintain the same interpretation as in LTE,</w:t>
      </w:r>
      <w:r w:rsidRPr="00AC38AB">
        <w:rPr>
          <w:b/>
        </w:rPr>
        <w:t xml:space="preserve"> although</w:t>
      </w:r>
      <w:r>
        <w:rPr>
          <w:b/>
        </w:rPr>
        <w:t xml:space="preserve"> there is a different understanding what this is.</w:t>
      </w:r>
    </w:p>
    <w:p w14:paraId="4610D35E" w14:textId="77777777" w:rsidR="00AC38AB" w:rsidRDefault="00AC38AB" w:rsidP="002D2A8D"/>
    <w:p w14:paraId="2C883E48" w14:textId="77777777" w:rsidR="00C01F33" w:rsidRPr="00CE0424" w:rsidRDefault="00C01F33" w:rsidP="00CE0424">
      <w:pPr>
        <w:pStyle w:val="Heading1"/>
      </w:pPr>
      <w:r w:rsidRPr="00CE0424">
        <w:t>Conclusion</w:t>
      </w:r>
    </w:p>
    <w:p w14:paraId="7001B937" w14:textId="77777777" w:rsidR="006B5C4D" w:rsidRDefault="008E065E" w:rsidP="00BD6251">
      <w:pPr>
        <w:pStyle w:val="BodyText"/>
      </w:pPr>
      <w:r w:rsidRPr="00CE0424">
        <w:t>Based on the discussion we propose the following:</w:t>
      </w:r>
    </w:p>
    <w:p w14:paraId="0D2B5B49" w14:textId="77777777" w:rsidR="006B5C4D" w:rsidRPr="00F5221F" w:rsidRDefault="006B5C4D" w:rsidP="006B5C4D">
      <w:pPr>
        <w:rPr>
          <w:b/>
          <w:sz w:val="24"/>
        </w:rPr>
      </w:pPr>
      <w:bookmarkStart w:id="1" w:name="_GoBack"/>
      <w:r w:rsidRPr="00F5221F">
        <w:rPr>
          <w:b/>
          <w:sz w:val="24"/>
          <w:highlight w:val="yellow"/>
        </w:rPr>
        <w:t>Proposal</w:t>
      </w:r>
      <w:r>
        <w:rPr>
          <w:b/>
          <w:sz w:val="24"/>
          <w:highlight w:val="yellow"/>
        </w:rPr>
        <w:t xml:space="preserve"> 1</w:t>
      </w:r>
      <w:r w:rsidRPr="00F5221F">
        <w:rPr>
          <w:b/>
          <w:sz w:val="24"/>
          <w:highlight w:val="yellow"/>
        </w:rPr>
        <w:t>:</w:t>
      </w:r>
      <w:r>
        <w:rPr>
          <w:b/>
          <w:sz w:val="24"/>
          <w:highlight w:val="yellow"/>
        </w:rPr>
        <w:t xml:space="preserve"> </w:t>
      </w:r>
      <w:r w:rsidRPr="00F5221F">
        <w:rPr>
          <w:b/>
          <w:sz w:val="24"/>
          <w:highlight w:val="yellow"/>
        </w:rPr>
        <w:t xml:space="preserve">SCell or </w:t>
      </w:r>
      <w:proofErr w:type="spellStart"/>
      <w:r w:rsidRPr="00F5221F">
        <w:rPr>
          <w:b/>
          <w:sz w:val="24"/>
          <w:highlight w:val="yellow"/>
        </w:rPr>
        <w:t>PScell</w:t>
      </w:r>
      <w:proofErr w:type="spellEnd"/>
      <w:r w:rsidRPr="00F5221F">
        <w:rPr>
          <w:b/>
          <w:sz w:val="24"/>
          <w:highlight w:val="yellow"/>
        </w:rPr>
        <w:t xml:space="preserve"> can trigger A4 event.</w:t>
      </w:r>
    </w:p>
    <w:p w14:paraId="324EBCA8" w14:textId="77777777" w:rsidR="006B5C4D" w:rsidRPr="00F5221F" w:rsidRDefault="006B5C4D" w:rsidP="006B5C4D">
      <w:pPr>
        <w:rPr>
          <w:b/>
          <w:sz w:val="24"/>
        </w:rPr>
      </w:pPr>
      <w:r w:rsidRPr="00F5221F">
        <w:rPr>
          <w:b/>
          <w:sz w:val="24"/>
          <w:highlight w:val="yellow"/>
        </w:rPr>
        <w:t>Proposal</w:t>
      </w:r>
      <w:r>
        <w:rPr>
          <w:b/>
          <w:sz w:val="24"/>
          <w:highlight w:val="yellow"/>
        </w:rPr>
        <w:t xml:space="preserve"> 2</w:t>
      </w:r>
      <w:r w:rsidRPr="00F5221F">
        <w:rPr>
          <w:b/>
          <w:sz w:val="24"/>
          <w:highlight w:val="yellow"/>
        </w:rPr>
        <w:t xml:space="preserve">: </w:t>
      </w:r>
      <w:r>
        <w:rPr>
          <w:b/>
          <w:sz w:val="24"/>
          <w:highlight w:val="yellow"/>
        </w:rPr>
        <w:t xml:space="preserve">Event </w:t>
      </w:r>
      <w:r w:rsidRPr="00F5221F">
        <w:rPr>
          <w:b/>
          <w:sz w:val="24"/>
          <w:highlight w:val="yellow"/>
        </w:rPr>
        <w:t>A</w:t>
      </w:r>
      <w:r>
        <w:rPr>
          <w:b/>
          <w:sz w:val="24"/>
          <w:highlight w:val="yellow"/>
        </w:rPr>
        <w:t>5</w:t>
      </w:r>
      <w:r w:rsidRPr="00F5221F">
        <w:rPr>
          <w:b/>
          <w:sz w:val="24"/>
          <w:highlight w:val="yellow"/>
        </w:rPr>
        <w:t xml:space="preserve"> </w:t>
      </w:r>
      <w:r>
        <w:rPr>
          <w:b/>
          <w:sz w:val="24"/>
          <w:highlight w:val="yellow"/>
        </w:rPr>
        <w:t xml:space="preserve">can trigger by an </w:t>
      </w:r>
      <w:r w:rsidRPr="00F5221F">
        <w:rPr>
          <w:b/>
          <w:sz w:val="24"/>
          <w:highlight w:val="yellow"/>
        </w:rPr>
        <w:t xml:space="preserve">SCell </w:t>
      </w:r>
      <w:r>
        <w:rPr>
          <w:b/>
          <w:sz w:val="24"/>
          <w:highlight w:val="yellow"/>
        </w:rPr>
        <w:t>on the associated MO</w:t>
      </w:r>
      <w:r w:rsidRPr="00F5221F">
        <w:rPr>
          <w:b/>
          <w:sz w:val="24"/>
          <w:highlight w:val="yellow"/>
        </w:rPr>
        <w:t>.</w:t>
      </w:r>
    </w:p>
    <w:bookmarkEnd w:id="1"/>
    <w:p w14:paraId="7CD01CE9" w14:textId="2209E0CC" w:rsidR="00D3724B" w:rsidRPr="00BD6251" w:rsidRDefault="008E065E" w:rsidP="00BD6251">
      <w:pPr>
        <w:pStyle w:val="BodyText"/>
        <w:rPr>
          <w:b/>
          <w:bCs/>
        </w:rPr>
      </w:pPr>
      <w:r>
        <w:rPr>
          <w:b/>
          <w:bCs/>
        </w:rPr>
        <w:fldChar w:fldCharType="begin"/>
      </w:r>
      <w:r>
        <w:rPr>
          <w:b/>
          <w:bCs/>
        </w:rPr>
        <w:instrText xml:space="preserve"> TOC \f \n \p " " \t "Proposal;1" </w:instrText>
      </w:r>
      <w:r>
        <w:rPr>
          <w:b/>
          <w:bCs/>
        </w:rPr>
        <w:fldChar w:fldCharType="end"/>
      </w:r>
    </w:p>
    <w:sectPr w:rsidR="00D3724B" w:rsidRPr="00BD6251">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E196F" w14:textId="77777777" w:rsidR="00052E6B" w:rsidRDefault="00052E6B">
      <w:r>
        <w:separator/>
      </w:r>
    </w:p>
  </w:endnote>
  <w:endnote w:type="continuationSeparator" w:id="0">
    <w:p w14:paraId="053B4124" w14:textId="77777777" w:rsidR="00052E6B" w:rsidRDefault="00052E6B">
      <w:r>
        <w:continuationSeparator/>
      </w:r>
    </w:p>
  </w:endnote>
  <w:endnote w:type="continuationNotice" w:id="1">
    <w:p w14:paraId="77F62F35" w14:textId="77777777" w:rsidR="00052E6B" w:rsidRDefault="00052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C2820" w14:textId="7763C1D9" w:rsidR="00B806AA" w:rsidRDefault="00B806AA"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D6936" w14:textId="77777777" w:rsidR="00052E6B" w:rsidRDefault="00052E6B">
      <w:r>
        <w:separator/>
      </w:r>
    </w:p>
  </w:footnote>
  <w:footnote w:type="continuationSeparator" w:id="0">
    <w:p w14:paraId="2D45E025" w14:textId="77777777" w:rsidR="00052E6B" w:rsidRDefault="00052E6B">
      <w:r>
        <w:continuationSeparator/>
      </w:r>
    </w:p>
  </w:footnote>
  <w:footnote w:type="continuationNotice" w:id="1">
    <w:p w14:paraId="69C57D95" w14:textId="77777777" w:rsidR="00052E6B" w:rsidRDefault="00052E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8C0DA6"/>
    <w:multiLevelType w:val="hybridMultilevel"/>
    <w:tmpl w:val="13D8B1EE"/>
    <w:lvl w:ilvl="0" w:tplc="D3DEA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AA697C"/>
    <w:multiLevelType w:val="hybridMultilevel"/>
    <w:tmpl w:val="39EC8704"/>
    <w:lvl w:ilvl="0" w:tplc="2C8E8B08">
      <w:start w:val="9"/>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0B2CD6"/>
    <w:multiLevelType w:val="hybridMultilevel"/>
    <w:tmpl w:val="3684F662"/>
    <w:lvl w:ilvl="0" w:tplc="F2985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C966A0"/>
    <w:multiLevelType w:val="hybridMultilevel"/>
    <w:tmpl w:val="C7383F0A"/>
    <w:lvl w:ilvl="0" w:tplc="C0B0A0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CD2B02"/>
    <w:multiLevelType w:val="hybridMultilevel"/>
    <w:tmpl w:val="28C808B0"/>
    <w:lvl w:ilvl="0" w:tplc="5E08EA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6074DE8"/>
    <w:multiLevelType w:val="hybridMultilevel"/>
    <w:tmpl w:val="DA463D12"/>
    <w:lvl w:ilvl="0" w:tplc="4E465D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5"/>
  </w:num>
  <w:num w:numId="2">
    <w:abstractNumId w:val="17"/>
  </w:num>
  <w:num w:numId="3">
    <w:abstractNumId w:val="13"/>
  </w:num>
  <w:num w:numId="4">
    <w:abstractNumId w:val="14"/>
  </w:num>
  <w:num w:numId="5">
    <w:abstractNumId w:val="10"/>
  </w:num>
  <w:num w:numId="6">
    <w:abstractNumId w:val="15"/>
  </w:num>
  <w:num w:numId="7">
    <w:abstractNumId w:val="20"/>
  </w:num>
  <w:num w:numId="8">
    <w:abstractNumId w:val="11"/>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1"/>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9"/>
  </w:num>
  <w:num w:numId="18">
    <w:abstractNumId w:val="22"/>
  </w:num>
  <w:num w:numId="19">
    <w:abstractNumId w:val="7"/>
  </w:num>
  <w:num w:numId="20">
    <w:abstractNumId w:val="12"/>
  </w:num>
  <w:num w:numId="21">
    <w:abstractNumId w:val="19"/>
  </w:num>
  <w:num w:numId="22">
    <w:abstractNumId w:val="13"/>
    <w:lvlOverride w:ilvl="0">
      <w:startOverride w:val="1"/>
    </w:lvlOverride>
  </w:num>
  <w:num w:numId="23">
    <w:abstractNumId w:val="16"/>
  </w:num>
  <w:num w:numId="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917"/>
    <w:rsid w:val="000006E1"/>
    <w:rsid w:val="00002A37"/>
    <w:rsid w:val="000039F4"/>
    <w:rsid w:val="00006446"/>
    <w:rsid w:val="00006896"/>
    <w:rsid w:val="00007CDC"/>
    <w:rsid w:val="00011B28"/>
    <w:rsid w:val="000136FF"/>
    <w:rsid w:val="00015D15"/>
    <w:rsid w:val="0002564D"/>
    <w:rsid w:val="00025ECA"/>
    <w:rsid w:val="000325B8"/>
    <w:rsid w:val="00034C15"/>
    <w:rsid w:val="00036BA1"/>
    <w:rsid w:val="000422E2"/>
    <w:rsid w:val="00042F22"/>
    <w:rsid w:val="000444EF"/>
    <w:rsid w:val="00052A07"/>
    <w:rsid w:val="00052E6B"/>
    <w:rsid w:val="000534E3"/>
    <w:rsid w:val="0005606A"/>
    <w:rsid w:val="00057117"/>
    <w:rsid w:val="000616E7"/>
    <w:rsid w:val="0006487E"/>
    <w:rsid w:val="00065E1A"/>
    <w:rsid w:val="000726D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D19"/>
    <w:rsid w:val="00132FD0"/>
    <w:rsid w:val="001344C0"/>
    <w:rsid w:val="001346FA"/>
    <w:rsid w:val="00135252"/>
    <w:rsid w:val="00137AB5"/>
    <w:rsid w:val="00137F0B"/>
    <w:rsid w:val="00151E23"/>
    <w:rsid w:val="001526E0"/>
    <w:rsid w:val="001551B5"/>
    <w:rsid w:val="00164CB1"/>
    <w:rsid w:val="001659C1"/>
    <w:rsid w:val="00173A8E"/>
    <w:rsid w:val="00177795"/>
    <w:rsid w:val="0018143F"/>
    <w:rsid w:val="00183189"/>
    <w:rsid w:val="00185E4D"/>
    <w:rsid w:val="00186F45"/>
    <w:rsid w:val="00190AC1"/>
    <w:rsid w:val="0019341A"/>
    <w:rsid w:val="00197DF9"/>
    <w:rsid w:val="001A0527"/>
    <w:rsid w:val="001A1987"/>
    <w:rsid w:val="001A2564"/>
    <w:rsid w:val="001A2D01"/>
    <w:rsid w:val="001A3DB9"/>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1F35"/>
    <w:rsid w:val="00212341"/>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A7561"/>
    <w:rsid w:val="002B24D6"/>
    <w:rsid w:val="002C41E6"/>
    <w:rsid w:val="002C6227"/>
    <w:rsid w:val="002D071A"/>
    <w:rsid w:val="002D2A8D"/>
    <w:rsid w:val="002D34B2"/>
    <w:rsid w:val="002D3A89"/>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530B"/>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5C2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D0D"/>
    <w:rsid w:val="00437447"/>
    <w:rsid w:val="00441A92"/>
    <w:rsid w:val="00444F56"/>
    <w:rsid w:val="00446488"/>
    <w:rsid w:val="004517AA"/>
    <w:rsid w:val="00452CAC"/>
    <w:rsid w:val="00457565"/>
    <w:rsid w:val="00457B71"/>
    <w:rsid w:val="00464DD7"/>
    <w:rsid w:val="004669E2"/>
    <w:rsid w:val="00470C31"/>
    <w:rsid w:val="00471CC2"/>
    <w:rsid w:val="004734D0"/>
    <w:rsid w:val="0047556B"/>
    <w:rsid w:val="00477768"/>
    <w:rsid w:val="00492BC5"/>
    <w:rsid w:val="004964F1"/>
    <w:rsid w:val="004A16BC"/>
    <w:rsid w:val="004A2B94"/>
    <w:rsid w:val="004B7C0C"/>
    <w:rsid w:val="004C132A"/>
    <w:rsid w:val="004C2DB9"/>
    <w:rsid w:val="004C3898"/>
    <w:rsid w:val="004D36B1"/>
    <w:rsid w:val="004D7EBD"/>
    <w:rsid w:val="004E2680"/>
    <w:rsid w:val="004E28F9"/>
    <w:rsid w:val="004E3844"/>
    <w:rsid w:val="004E462E"/>
    <w:rsid w:val="004E56DC"/>
    <w:rsid w:val="004E76F4"/>
    <w:rsid w:val="004F0B4E"/>
    <w:rsid w:val="004F0B6C"/>
    <w:rsid w:val="004F2078"/>
    <w:rsid w:val="004F4DA3"/>
    <w:rsid w:val="004F61C6"/>
    <w:rsid w:val="00506557"/>
    <w:rsid w:val="0050677A"/>
    <w:rsid w:val="005108D8"/>
    <w:rsid w:val="005116F9"/>
    <w:rsid w:val="005153A7"/>
    <w:rsid w:val="005219CF"/>
    <w:rsid w:val="00530E6F"/>
    <w:rsid w:val="00534B59"/>
    <w:rsid w:val="00536759"/>
    <w:rsid w:val="00537C62"/>
    <w:rsid w:val="00541CAA"/>
    <w:rsid w:val="00546970"/>
    <w:rsid w:val="00554E19"/>
    <w:rsid w:val="005560F1"/>
    <w:rsid w:val="0056121F"/>
    <w:rsid w:val="00561678"/>
    <w:rsid w:val="00561B5E"/>
    <w:rsid w:val="005701DA"/>
    <w:rsid w:val="00572505"/>
    <w:rsid w:val="00582809"/>
    <w:rsid w:val="0058798C"/>
    <w:rsid w:val="005900FA"/>
    <w:rsid w:val="005935A4"/>
    <w:rsid w:val="005948C2"/>
    <w:rsid w:val="00595622"/>
    <w:rsid w:val="00595DCA"/>
    <w:rsid w:val="0059779B"/>
    <w:rsid w:val="005A1D76"/>
    <w:rsid w:val="005A209A"/>
    <w:rsid w:val="005A662D"/>
    <w:rsid w:val="005B35D7"/>
    <w:rsid w:val="005B392A"/>
    <w:rsid w:val="005B3AA3"/>
    <w:rsid w:val="005B591A"/>
    <w:rsid w:val="005B6F83"/>
    <w:rsid w:val="005B758F"/>
    <w:rsid w:val="005C40BB"/>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2A3"/>
    <w:rsid w:val="006B50CF"/>
    <w:rsid w:val="006B5C4D"/>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3697"/>
    <w:rsid w:val="00704EDB"/>
    <w:rsid w:val="00706101"/>
    <w:rsid w:val="00707072"/>
    <w:rsid w:val="0070725B"/>
    <w:rsid w:val="00707D61"/>
    <w:rsid w:val="00712287"/>
    <w:rsid w:val="00712772"/>
    <w:rsid w:val="007148D3"/>
    <w:rsid w:val="00715B9A"/>
    <w:rsid w:val="00726EA6"/>
    <w:rsid w:val="00727208"/>
    <w:rsid w:val="00727680"/>
    <w:rsid w:val="00727B2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A41"/>
    <w:rsid w:val="0078177E"/>
    <w:rsid w:val="0078304C"/>
    <w:rsid w:val="007831D6"/>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3DAC"/>
    <w:rsid w:val="007D5901"/>
    <w:rsid w:val="007D7526"/>
    <w:rsid w:val="007E4610"/>
    <w:rsid w:val="007E4715"/>
    <w:rsid w:val="007E505B"/>
    <w:rsid w:val="007E7091"/>
    <w:rsid w:val="00803FAE"/>
    <w:rsid w:val="0080605F"/>
    <w:rsid w:val="00807786"/>
    <w:rsid w:val="008100AA"/>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3A3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FDA"/>
    <w:rsid w:val="008E54A7"/>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6BE7"/>
    <w:rsid w:val="009D703C"/>
    <w:rsid w:val="009D718F"/>
    <w:rsid w:val="009E068F"/>
    <w:rsid w:val="009E14E0"/>
    <w:rsid w:val="009E35DB"/>
    <w:rsid w:val="009E47A3"/>
    <w:rsid w:val="009F08F3"/>
    <w:rsid w:val="009F344F"/>
    <w:rsid w:val="00A048A8"/>
    <w:rsid w:val="00A04F49"/>
    <w:rsid w:val="00A13E54"/>
    <w:rsid w:val="00A16484"/>
    <w:rsid w:val="00A17F63"/>
    <w:rsid w:val="00A2052C"/>
    <w:rsid w:val="00A2193B"/>
    <w:rsid w:val="00A2351A"/>
    <w:rsid w:val="00A264A9"/>
    <w:rsid w:val="00A27785"/>
    <w:rsid w:val="00A30187"/>
    <w:rsid w:val="00A3448A"/>
    <w:rsid w:val="00A36297"/>
    <w:rsid w:val="00A37343"/>
    <w:rsid w:val="00A41E2B"/>
    <w:rsid w:val="00A45B74"/>
    <w:rsid w:val="00A52E1D"/>
    <w:rsid w:val="00A57AE3"/>
    <w:rsid w:val="00A61499"/>
    <w:rsid w:val="00A62A77"/>
    <w:rsid w:val="00A63483"/>
    <w:rsid w:val="00A657D7"/>
    <w:rsid w:val="00A65814"/>
    <w:rsid w:val="00A660AC"/>
    <w:rsid w:val="00A66F55"/>
    <w:rsid w:val="00A67E6C"/>
    <w:rsid w:val="00A71B99"/>
    <w:rsid w:val="00A739D0"/>
    <w:rsid w:val="00A761D4"/>
    <w:rsid w:val="00A77EC4"/>
    <w:rsid w:val="00A92879"/>
    <w:rsid w:val="00A9442A"/>
    <w:rsid w:val="00AA016F"/>
    <w:rsid w:val="00AA1814"/>
    <w:rsid w:val="00AA1ED6"/>
    <w:rsid w:val="00AA51D6"/>
    <w:rsid w:val="00AB0BC8"/>
    <w:rsid w:val="00AB11CA"/>
    <w:rsid w:val="00AB14D9"/>
    <w:rsid w:val="00AB1C5A"/>
    <w:rsid w:val="00AB4AB8"/>
    <w:rsid w:val="00AB655E"/>
    <w:rsid w:val="00AB7AD6"/>
    <w:rsid w:val="00AC007F"/>
    <w:rsid w:val="00AC2ECD"/>
    <w:rsid w:val="00AC3119"/>
    <w:rsid w:val="00AC38AB"/>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2AB"/>
    <w:rsid w:val="00B45A52"/>
    <w:rsid w:val="00B46175"/>
    <w:rsid w:val="00B56CF8"/>
    <w:rsid w:val="00B57667"/>
    <w:rsid w:val="00B61557"/>
    <w:rsid w:val="00B6188F"/>
    <w:rsid w:val="00B664C7"/>
    <w:rsid w:val="00B739F6"/>
    <w:rsid w:val="00B806A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251"/>
    <w:rsid w:val="00BE1234"/>
    <w:rsid w:val="00BE2FA6"/>
    <w:rsid w:val="00BE333F"/>
    <w:rsid w:val="00BE7406"/>
    <w:rsid w:val="00BE7603"/>
    <w:rsid w:val="00BF3279"/>
    <w:rsid w:val="00BF4BEC"/>
    <w:rsid w:val="00BF74C7"/>
    <w:rsid w:val="00C015F1"/>
    <w:rsid w:val="00C01F33"/>
    <w:rsid w:val="00C02CC6"/>
    <w:rsid w:val="00C040F7"/>
    <w:rsid w:val="00C041B0"/>
    <w:rsid w:val="00C044AB"/>
    <w:rsid w:val="00C04908"/>
    <w:rsid w:val="00C05706"/>
    <w:rsid w:val="00C07377"/>
    <w:rsid w:val="00C10478"/>
    <w:rsid w:val="00C12107"/>
    <w:rsid w:val="00C12AC6"/>
    <w:rsid w:val="00C14D4B"/>
    <w:rsid w:val="00C154BB"/>
    <w:rsid w:val="00C24345"/>
    <w:rsid w:val="00C25A74"/>
    <w:rsid w:val="00C279B5"/>
    <w:rsid w:val="00C27C45"/>
    <w:rsid w:val="00C33EB7"/>
    <w:rsid w:val="00C3719D"/>
    <w:rsid w:val="00C54995"/>
    <w:rsid w:val="00C54D41"/>
    <w:rsid w:val="00C60783"/>
    <w:rsid w:val="00C624BF"/>
    <w:rsid w:val="00C62A38"/>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3CC1"/>
    <w:rsid w:val="00CB7170"/>
    <w:rsid w:val="00CC040E"/>
    <w:rsid w:val="00CC111F"/>
    <w:rsid w:val="00CC2011"/>
    <w:rsid w:val="00CC3EA0"/>
    <w:rsid w:val="00CC59E2"/>
    <w:rsid w:val="00CC7B45"/>
    <w:rsid w:val="00CD1188"/>
    <w:rsid w:val="00CD2ED1"/>
    <w:rsid w:val="00CD337B"/>
    <w:rsid w:val="00CD53AE"/>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24B"/>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2EDB"/>
    <w:rsid w:val="00D86CA3"/>
    <w:rsid w:val="00D871CE"/>
    <w:rsid w:val="00D91676"/>
    <w:rsid w:val="00D9196D"/>
    <w:rsid w:val="00D92982"/>
    <w:rsid w:val="00DA100B"/>
    <w:rsid w:val="00DA305E"/>
    <w:rsid w:val="00DA5417"/>
    <w:rsid w:val="00DA56E8"/>
    <w:rsid w:val="00DB0A9F"/>
    <w:rsid w:val="00DB377D"/>
    <w:rsid w:val="00DC2D36"/>
    <w:rsid w:val="00DC53EF"/>
    <w:rsid w:val="00DE5608"/>
    <w:rsid w:val="00DE58D0"/>
    <w:rsid w:val="00DE654F"/>
    <w:rsid w:val="00DF0B6E"/>
    <w:rsid w:val="00DF15E0"/>
    <w:rsid w:val="00DF37A0"/>
    <w:rsid w:val="00E04EC9"/>
    <w:rsid w:val="00E070C3"/>
    <w:rsid w:val="00E110E7"/>
    <w:rsid w:val="00E11B20"/>
    <w:rsid w:val="00E14AA8"/>
    <w:rsid w:val="00E15EED"/>
    <w:rsid w:val="00E17FA2"/>
    <w:rsid w:val="00E2198B"/>
    <w:rsid w:val="00E22330"/>
    <w:rsid w:val="00E30B5A"/>
    <w:rsid w:val="00E3123D"/>
    <w:rsid w:val="00E31461"/>
    <w:rsid w:val="00E31D43"/>
    <w:rsid w:val="00E32608"/>
    <w:rsid w:val="00E34188"/>
    <w:rsid w:val="00E34B6E"/>
    <w:rsid w:val="00E35559"/>
    <w:rsid w:val="00E3723A"/>
    <w:rsid w:val="00E37860"/>
    <w:rsid w:val="00E446F1"/>
    <w:rsid w:val="00E45710"/>
    <w:rsid w:val="00E46886"/>
    <w:rsid w:val="00E47AEF"/>
    <w:rsid w:val="00E531BA"/>
    <w:rsid w:val="00E53B75"/>
    <w:rsid w:val="00E54E3B"/>
    <w:rsid w:val="00E57565"/>
    <w:rsid w:val="00E63838"/>
    <w:rsid w:val="00E64434"/>
    <w:rsid w:val="00E66917"/>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47E"/>
    <w:rsid w:val="00EC27C6"/>
    <w:rsid w:val="00EC4207"/>
    <w:rsid w:val="00EC5653"/>
    <w:rsid w:val="00EC71CE"/>
    <w:rsid w:val="00ED1006"/>
    <w:rsid w:val="00ED62D7"/>
    <w:rsid w:val="00EE0C1B"/>
    <w:rsid w:val="00EF18FE"/>
    <w:rsid w:val="00EF4E06"/>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221F"/>
    <w:rsid w:val="00F607C5"/>
    <w:rsid w:val="00F60DEA"/>
    <w:rsid w:val="00F6302A"/>
    <w:rsid w:val="00F64C2B"/>
    <w:rsid w:val="00F651BE"/>
    <w:rsid w:val="00F67F53"/>
    <w:rsid w:val="00F703BE"/>
    <w:rsid w:val="00F71F69"/>
    <w:rsid w:val="00F72B72"/>
    <w:rsid w:val="00F74BB9"/>
    <w:rsid w:val="00F75582"/>
    <w:rsid w:val="00F764CA"/>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4DA0"/>
    <w:rsid w:val="00FD74DB"/>
    <w:rsid w:val="00FD7660"/>
    <w:rsid w:val="00FE0655"/>
    <w:rsid w:val="00FE2365"/>
    <w:rsid w:val="00FE4C7B"/>
    <w:rsid w:val="00FE7336"/>
    <w:rsid w:val="00FE787C"/>
    <w:rsid w:val="00FF142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54A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C59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C59E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C59E2"/>
    <w:pPr>
      <w:numPr>
        <w:ilvl w:val="2"/>
      </w:numPr>
      <w:spacing w:before="120"/>
      <w:outlineLvl w:val="2"/>
    </w:pPr>
    <w:rPr>
      <w:sz w:val="28"/>
      <w:szCs w:val="28"/>
    </w:rPr>
  </w:style>
  <w:style w:type="paragraph" w:styleId="Heading4">
    <w:name w:val="heading 4"/>
    <w:basedOn w:val="Heading3"/>
    <w:next w:val="Normal"/>
    <w:qFormat/>
    <w:rsid w:val="00CC59E2"/>
    <w:pPr>
      <w:numPr>
        <w:ilvl w:val="3"/>
      </w:numPr>
      <w:outlineLvl w:val="3"/>
    </w:pPr>
    <w:rPr>
      <w:sz w:val="24"/>
      <w:szCs w:val="24"/>
    </w:rPr>
  </w:style>
  <w:style w:type="paragraph" w:styleId="Heading5">
    <w:name w:val="heading 5"/>
    <w:basedOn w:val="Heading4"/>
    <w:next w:val="Normal"/>
    <w:qFormat/>
    <w:rsid w:val="00CC59E2"/>
    <w:pPr>
      <w:numPr>
        <w:ilvl w:val="4"/>
      </w:numPr>
      <w:outlineLvl w:val="4"/>
    </w:pPr>
    <w:rPr>
      <w:sz w:val="22"/>
      <w:szCs w:val="22"/>
    </w:rPr>
  </w:style>
  <w:style w:type="paragraph" w:styleId="Heading6">
    <w:name w:val="heading 6"/>
    <w:basedOn w:val="Normal"/>
    <w:next w:val="Normal"/>
    <w:qFormat/>
    <w:rsid w:val="00CC59E2"/>
    <w:pPr>
      <w:keepNext/>
      <w:keepLines/>
      <w:numPr>
        <w:ilvl w:val="5"/>
        <w:numId w:val="1"/>
      </w:numPr>
      <w:spacing w:before="120"/>
      <w:outlineLvl w:val="5"/>
    </w:pPr>
    <w:rPr>
      <w:rFonts w:cs="Arial"/>
    </w:rPr>
  </w:style>
  <w:style w:type="paragraph" w:styleId="Heading7">
    <w:name w:val="heading 7"/>
    <w:basedOn w:val="Normal"/>
    <w:next w:val="Normal"/>
    <w:qFormat/>
    <w:rsid w:val="00CC59E2"/>
    <w:pPr>
      <w:keepNext/>
      <w:keepLines/>
      <w:numPr>
        <w:ilvl w:val="6"/>
        <w:numId w:val="1"/>
      </w:numPr>
      <w:spacing w:before="120"/>
      <w:outlineLvl w:val="6"/>
    </w:pPr>
    <w:rPr>
      <w:rFonts w:cs="Arial"/>
    </w:rPr>
  </w:style>
  <w:style w:type="paragraph" w:styleId="Heading8">
    <w:name w:val="heading 8"/>
    <w:basedOn w:val="Heading7"/>
    <w:next w:val="Normal"/>
    <w:qFormat/>
    <w:rsid w:val="00CC59E2"/>
    <w:pPr>
      <w:numPr>
        <w:ilvl w:val="7"/>
      </w:numPr>
      <w:outlineLvl w:val="7"/>
    </w:pPr>
  </w:style>
  <w:style w:type="paragraph" w:styleId="Heading9">
    <w:name w:val="heading 9"/>
    <w:basedOn w:val="Heading8"/>
    <w:next w:val="Normal"/>
    <w:qFormat/>
    <w:rsid w:val="00CC59E2"/>
    <w:pPr>
      <w:numPr>
        <w:ilvl w:val="8"/>
      </w:numPr>
      <w:outlineLvl w:val="8"/>
    </w:pPr>
  </w:style>
  <w:style w:type="character" w:default="1" w:styleId="DefaultParagraphFont">
    <w:name w:val="Default Paragraph Font"/>
    <w:uiPriority w:val="1"/>
    <w:semiHidden/>
    <w:unhideWhenUsed/>
    <w:rsid w:val="008E54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54A7"/>
  </w:style>
  <w:style w:type="paragraph" w:styleId="TOC8">
    <w:name w:val="toc 8"/>
    <w:basedOn w:val="TOC1"/>
    <w:semiHidden/>
    <w:rsid w:val="00CC59E2"/>
    <w:pPr>
      <w:spacing w:before="180"/>
      <w:ind w:left="2693" w:hanging="2693"/>
    </w:pPr>
    <w:rPr>
      <w:b w:val="0"/>
      <w:bCs/>
    </w:rPr>
  </w:style>
  <w:style w:type="paragraph" w:styleId="TOC1">
    <w:name w:val="toc 1"/>
    <w:aliases w:val="Observation TOC2"/>
    <w:uiPriority w:val="39"/>
    <w:rsid w:val="00CC59E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C59E2"/>
    <w:pPr>
      <w:keepNext/>
      <w:keepLines/>
      <w:spacing w:before="180"/>
      <w:jc w:val="center"/>
    </w:pPr>
  </w:style>
  <w:style w:type="paragraph" w:styleId="Caption">
    <w:name w:val="caption"/>
    <w:basedOn w:val="Normal"/>
    <w:next w:val="Normal"/>
    <w:qFormat/>
    <w:rsid w:val="00CC59E2"/>
    <w:pPr>
      <w:spacing w:after="240"/>
      <w:jc w:val="center"/>
    </w:pPr>
    <w:rPr>
      <w:b/>
      <w:bCs/>
    </w:rPr>
  </w:style>
  <w:style w:type="paragraph" w:styleId="TOC5">
    <w:name w:val="toc 5"/>
    <w:aliases w:val="Observation TOC"/>
    <w:basedOn w:val="TOC4"/>
    <w:semiHidden/>
    <w:rsid w:val="00CC59E2"/>
    <w:pPr>
      <w:tabs>
        <w:tab w:val="right" w:pos="1701"/>
      </w:tabs>
      <w:ind w:left="1701" w:hanging="1701"/>
    </w:pPr>
  </w:style>
  <w:style w:type="paragraph" w:styleId="TOC4">
    <w:name w:val="toc 4"/>
    <w:basedOn w:val="TOC3"/>
    <w:semiHidden/>
    <w:rsid w:val="00CC59E2"/>
    <w:pPr>
      <w:ind w:left="1418" w:hanging="1418"/>
    </w:pPr>
  </w:style>
  <w:style w:type="paragraph" w:styleId="TOC3">
    <w:name w:val="toc 3"/>
    <w:basedOn w:val="TOC2"/>
    <w:semiHidden/>
    <w:rsid w:val="00CC59E2"/>
    <w:pPr>
      <w:ind w:left="1134" w:hanging="1134"/>
    </w:pPr>
  </w:style>
  <w:style w:type="paragraph" w:styleId="TOC2">
    <w:name w:val="toc 2"/>
    <w:basedOn w:val="TOC1"/>
    <w:semiHidden/>
    <w:rsid w:val="00CC59E2"/>
    <w:pPr>
      <w:keepNext w:val="0"/>
      <w:spacing w:before="0"/>
      <w:ind w:left="851" w:hanging="851"/>
    </w:pPr>
    <w:rPr>
      <w:szCs w:val="20"/>
    </w:rPr>
  </w:style>
  <w:style w:type="paragraph" w:styleId="Index2">
    <w:name w:val="index 2"/>
    <w:basedOn w:val="Index1"/>
    <w:semiHidden/>
    <w:rsid w:val="00CC59E2"/>
    <w:pPr>
      <w:ind w:left="284"/>
    </w:pPr>
  </w:style>
  <w:style w:type="paragraph" w:styleId="Index1">
    <w:name w:val="index 1"/>
    <w:basedOn w:val="Normal"/>
    <w:semiHidden/>
    <w:rsid w:val="00CC59E2"/>
    <w:pPr>
      <w:keepLines/>
      <w:spacing w:after="0"/>
    </w:pPr>
  </w:style>
  <w:style w:type="paragraph" w:styleId="DocumentMap">
    <w:name w:val="Document Map"/>
    <w:basedOn w:val="Normal"/>
    <w:semiHidden/>
    <w:rsid w:val="00CC59E2"/>
    <w:pPr>
      <w:shd w:val="clear" w:color="auto" w:fill="000080"/>
    </w:pPr>
    <w:rPr>
      <w:rFonts w:ascii="Tahoma" w:hAnsi="Tahoma" w:cs="Tahoma"/>
    </w:rPr>
  </w:style>
  <w:style w:type="paragraph" w:styleId="ListNumber2">
    <w:name w:val="List Number 2"/>
    <w:basedOn w:val="ListNumber"/>
    <w:rsid w:val="00CC59E2"/>
    <w:pPr>
      <w:ind w:left="851"/>
    </w:pPr>
  </w:style>
  <w:style w:type="paragraph" w:styleId="ListNumber">
    <w:name w:val="List Number"/>
    <w:basedOn w:val="List"/>
    <w:rsid w:val="00CC59E2"/>
  </w:style>
  <w:style w:type="paragraph" w:styleId="List">
    <w:name w:val="List"/>
    <w:basedOn w:val="Normal"/>
    <w:rsid w:val="00CC59E2"/>
    <w:pPr>
      <w:ind w:left="568" w:hanging="284"/>
    </w:pPr>
  </w:style>
  <w:style w:type="paragraph" w:styleId="Header">
    <w:name w:val="header"/>
    <w:rsid w:val="00CC59E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C59E2"/>
    <w:rPr>
      <w:b/>
      <w:bCs/>
      <w:position w:val="6"/>
      <w:sz w:val="16"/>
      <w:szCs w:val="16"/>
    </w:rPr>
  </w:style>
  <w:style w:type="paragraph" w:styleId="FootnoteText">
    <w:name w:val="footnote text"/>
    <w:basedOn w:val="Normal"/>
    <w:semiHidden/>
    <w:rsid w:val="00CC59E2"/>
    <w:pPr>
      <w:keepLines/>
      <w:spacing w:after="0"/>
      <w:ind w:left="454" w:hanging="454"/>
    </w:pPr>
    <w:rPr>
      <w:sz w:val="16"/>
      <w:szCs w:val="16"/>
    </w:rPr>
  </w:style>
  <w:style w:type="paragraph" w:customStyle="1" w:styleId="3GPPHeader">
    <w:name w:val="3GPP_Header"/>
    <w:basedOn w:val="Normal"/>
    <w:rsid w:val="00CC59E2"/>
    <w:pPr>
      <w:tabs>
        <w:tab w:val="left" w:pos="1701"/>
        <w:tab w:val="right" w:pos="9639"/>
      </w:tabs>
      <w:spacing w:after="240"/>
    </w:pPr>
    <w:rPr>
      <w:b/>
      <w:sz w:val="24"/>
    </w:rPr>
  </w:style>
  <w:style w:type="paragraph" w:styleId="TOC9">
    <w:name w:val="toc 9"/>
    <w:basedOn w:val="TOC8"/>
    <w:semiHidden/>
    <w:rsid w:val="00CC59E2"/>
    <w:pPr>
      <w:ind w:left="1418" w:hanging="1418"/>
    </w:pPr>
  </w:style>
  <w:style w:type="paragraph" w:styleId="TOC6">
    <w:name w:val="toc 6"/>
    <w:basedOn w:val="TOC5"/>
    <w:next w:val="Normal"/>
    <w:semiHidden/>
    <w:rsid w:val="00CC59E2"/>
    <w:pPr>
      <w:ind w:left="1985" w:hanging="1985"/>
    </w:pPr>
  </w:style>
  <w:style w:type="paragraph" w:styleId="TOC7">
    <w:name w:val="toc 7"/>
    <w:basedOn w:val="TOC6"/>
    <w:next w:val="Normal"/>
    <w:semiHidden/>
    <w:rsid w:val="00CC59E2"/>
    <w:pPr>
      <w:ind w:left="2268" w:hanging="2268"/>
    </w:pPr>
  </w:style>
  <w:style w:type="paragraph" w:styleId="ListBullet2">
    <w:name w:val="List Bullet 2"/>
    <w:basedOn w:val="ListBullet"/>
    <w:rsid w:val="00CC59E2"/>
    <w:pPr>
      <w:numPr>
        <w:numId w:val="6"/>
      </w:numPr>
    </w:pPr>
  </w:style>
  <w:style w:type="paragraph" w:styleId="ListBullet">
    <w:name w:val="List Bullet"/>
    <w:basedOn w:val="BodyText"/>
    <w:rsid w:val="00CC59E2"/>
    <w:pPr>
      <w:numPr>
        <w:numId w:val="5"/>
      </w:numPr>
    </w:pPr>
  </w:style>
  <w:style w:type="paragraph" w:styleId="ListBullet3">
    <w:name w:val="List Bullet 3"/>
    <w:basedOn w:val="ListBullet2"/>
    <w:rsid w:val="00CC59E2"/>
    <w:pPr>
      <w:numPr>
        <w:numId w:val="7"/>
      </w:numPr>
    </w:pPr>
  </w:style>
  <w:style w:type="paragraph" w:customStyle="1" w:styleId="EQ">
    <w:name w:val="EQ"/>
    <w:basedOn w:val="Normal"/>
    <w:next w:val="Normal"/>
    <w:rsid w:val="00CC59E2"/>
    <w:pPr>
      <w:keepLines/>
      <w:tabs>
        <w:tab w:val="center" w:pos="4536"/>
        <w:tab w:val="right" w:pos="9072"/>
      </w:tabs>
      <w:spacing w:after="180"/>
    </w:pPr>
    <w:rPr>
      <w:noProof/>
    </w:rPr>
  </w:style>
  <w:style w:type="paragraph" w:styleId="List2">
    <w:name w:val="List 2"/>
    <w:basedOn w:val="List"/>
    <w:rsid w:val="00CC59E2"/>
    <w:pPr>
      <w:ind w:left="851"/>
    </w:pPr>
  </w:style>
  <w:style w:type="paragraph" w:styleId="List3">
    <w:name w:val="List 3"/>
    <w:basedOn w:val="List2"/>
    <w:rsid w:val="00CC59E2"/>
    <w:pPr>
      <w:ind w:left="1135"/>
    </w:pPr>
  </w:style>
  <w:style w:type="paragraph" w:styleId="List4">
    <w:name w:val="List 4"/>
    <w:basedOn w:val="List3"/>
    <w:rsid w:val="00CC59E2"/>
    <w:pPr>
      <w:ind w:left="1418"/>
    </w:pPr>
  </w:style>
  <w:style w:type="paragraph" w:styleId="List5">
    <w:name w:val="List 5"/>
    <w:basedOn w:val="List4"/>
    <w:rsid w:val="00CC59E2"/>
    <w:pPr>
      <w:ind w:left="1702"/>
    </w:pPr>
  </w:style>
  <w:style w:type="paragraph" w:customStyle="1" w:styleId="EditorsNote">
    <w:name w:val="Editor's Note"/>
    <w:basedOn w:val="Normal"/>
    <w:rsid w:val="00CC59E2"/>
    <w:pPr>
      <w:keepLines/>
      <w:spacing w:after="180"/>
      <w:ind w:left="1135" w:hanging="851"/>
    </w:pPr>
    <w:rPr>
      <w:color w:val="FF0000"/>
    </w:rPr>
  </w:style>
  <w:style w:type="paragraph" w:styleId="ListBullet4">
    <w:name w:val="List Bullet 4"/>
    <w:basedOn w:val="ListBullet3"/>
    <w:rsid w:val="00CC59E2"/>
    <w:pPr>
      <w:numPr>
        <w:numId w:val="8"/>
      </w:numPr>
    </w:pPr>
  </w:style>
  <w:style w:type="paragraph" w:styleId="ListBullet5">
    <w:name w:val="List Bullet 5"/>
    <w:basedOn w:val="ListBullet4"/>
    <w:rsid w:val="00CC59E2"/>
    <w:pPr>
      <w:numPr>
        <w:numId w:val="4"/>
      </w:numPr>
    </w:pPr>
  </w:style>
  <w:style w:type="paragraph" w:styleId="Footer">
    <w:name w:val="footer"/>
    <w:basedOn w:val="Header"/>
    <w:semiHidden/>
    <w:rsid w:val="00CC59E2"/>
    <w:pPr>
      <w:jc w:val="center"/>
    </w:pPr>
    <w:rPr>
      <w:i/>
      <w:iCs/>
    </w:rPr>
  </w:style>
  <w:style w:type="paragraph" w:customStyle="1" w:styleId="Reference">
    <w:name w:val="Reference"/>
    <w:basedOn w:val="Normal"/>
    <w:rsid w:val="00CC59E2"/>
    <w:pPr>
      <w:numPr>
        <w:numId w:val="2"/>
      </w:numPr>
    </w:pPr>
  </w:style>
  <w:style w:type="paragraph" w:styleId="BalloonText">
    <w:name w:val="Balloon Text"/>
    <w:basedOn w:val="Normal"/>
    <w:semiHidden/>
    <w:rsid w:val="00CC59E2"/>
    <w:rPr>
      <w:rFonts w:ascii="Tahoma" w:hAnsi="Tahoma" w:cs="Tahoma"/>
      <w:sz w:val="16"/>
      <w:szCs w:val="16"/>
    </w:rPr>
  </w:style>
  <w:style w:type="character" w:styleId="PageNumber">
    <w:name w:val="page number"/>
    <w:basedOn w:val="DefaultParagraphFont"/>
    <w:semiHidden/>
    <w:rsid w:val="00CC59E2"/>
  </w:style>
  <w:style w:type="paragraph" w:styleId="BodyText">
    <w:name w:val="Body Text"/>
    <w:basedOn w:val="Normal"/>
    <w:link w:val="BodyTextChar"/>
    <w:rsid w:val="00CC59E2"/>
  </w:style>
  <w:style w:type="character" w:styleId="Hyperlink">
    <w:name w:val="Hyperlink"/>
    <w:uiPriority w:val="99"/>
    <w:rsid w:val="00CC59E2"/>
    <w:rPr>
      <w:color w:val="0000FF"/>
      <w:u w:val="single"/>
      <w:lang w:val="en-GB"/>
    </w:rPr>
  </w:style>
  <w:style w:type="character" w:styleId="FollowedHyperlink">
    <w:name w:val="FollowedHyperlink"/>
    <w:semiHidden/>
    <w:rsid w:val="00CC59E2"/>
    <w:rPr>
      <w:color w:val="FF0000"/>
      <w:u w:val="single"/>
    </w:rPr>
  </w:style>
  <w:style w:type="character" w:styleId="CommentReference">
    <w:name w:val="annotation reference"/>
    <w:semiHidden/>
    <w:rsid w:val="00CC59E2"/>
    <w:rPr>
      <w:sz w:val="16"/>
      <w:szCs w:val="16"/>
    </w:rPr>
  </w:style>
  <w:style w:type="paragraph" w:styleId="CommentText">
    <w:name w:val="annotation text"/>
    <w:basedOn w:val="Normal"/>
    <w:semiHidden/>
    <w:rsid w:val="00CC59E2"/>
  </w:style>
  <w:style w:type="paragraph" w:styleId="CommentSubject">
    <w:name w:val="annotation subject"/>
    <w:basedOn w:val="CommentText"/>
    <w:next w:val="CommentText"/>
    <w:semiHidden/>
    <w:rsid w:val="00CC59E2"/>
    <w:rPr>
      <w:b/>
      <w:bCs/>
    </w:rPr>
  </w:style>
  <w:style w:type="character" w:customStyle="1" w:styleId="Heading1Char">
    <w:name w:val="Heading 1 Char"/>
    <w:link w:val="Heading1"/>
    <w:rsid w:val="00CC59E2"/>
    <w:rPr>
      <w:rFonts w:ascii="Arial" w:hAnsi="Arial" w:cs="Arial"/>
      <w:sz w:val="36"/>
      <w:szCs w:val="36"/>
      <w:lang w:val="en-GB" w:eastAsia="zh-CN"/>
    </w:rPr>
  </w:style>
  <w:style w:type="paragraph" w:customStyle="1" w:styleId="B1">
    <w:name w:val="B1"/>
    <w:basedOn w:val="List"/>
    <w:link w:val="B1Char1"/>
    <w:rsid w:val="00CC59E2"/>
    <w:pPr>
      <w:spacing w:after="180"/>
    </w:pPr>
  </w:style>
  <w:style w:type="paragraph" w:customStyle="1" w:styleId="B2">
    <w:name w:val="B2"/>
    <w:basedOn w:val="List2"/>
    <w:rsid w:val="00CC59E2"/>
    <w:pPr>
      <w:spacing w:after="180"/>
    </w:pPr>
  </w:style>
  <w:style w:type="paragraph" w:customStyle="1" w:styleId="B3">
    <w:name w:val="B3"/>
    <w:basedOn w:val="List3"/>
    <w:rsid w:val="00CC59E2"/>
    <w:pPr>
      <w:spacing w:after="180"/>
    </w:pPr>
  </w:style>
  <w:style w:type="paragraph" w:customStyle="1" w:styleId="B4">
    <w:name w:val="B4"/>
    <w:basedOn w:val="List4"/>
    <w:rsid w:val="00CC59E2"/>
    <w:pPr>
      <w:spacing w:after="180"/>
    </w:pPr>
  </w:style>
  <w:style w:type="paragraph" w:customStyle="1" w:styleId="Proposal">
    <w:name w:val="Proposal"/>
    <w:basedOn w:val="Normal"/>
    <w:rsid w:val="00CC59E2"/>
    <w:pPr>
      <w:numPr>
        <w:numId w:val="3"/>
      </w:numPr>
      <w:tabs>
        <w:tab w:val="clear" w:pos="1304"/>
        <w:tab w:val="left" w:pos="1701"/>
      </w:tabs>
      <w:ind w:left="1701" w:hanging="1701"/>
    </w:pPr>
    <w:rPr>
      <w:b/>
      <w:bCs/>
    </w:rPr>
  </w:style>
  <w:style w:type="character" w:customStyle="1" w:styleId="BodyTextChar">
    <w:name w:val="Body Text Char"/>
    <w:link w:val="BodyText"/>
    <w:rsid w:val="00CC59E2"/>
    <w:rPr>
      <w:rFonts w:ascii="Arial" w:hAnsi="Arial"/>
      <w:lang w:val="en-GB" w:eastAsia="zh-CN"/>
    </w:rPr>
  </w:style>
  <w:style w:type="paragraph" w:customStyle="1" w:styleId="B5">
    <w:name w:val="B5"/>
    <w:basedOn w:val="List5"/>
    <w:link w:val="B5Char"/>
    <w:rsid w:val="00CC59E2"/>
    <w:pPr>
      <w:spacing w:after="180"/>
    </w:pPr>
  </w:style>
  <w:style w:type="paragraph" w:customStyle="1" w:styleId="EX">
    <w:name w:val="EX"/>
    <w:basedOn w:val="Normal"/>
    <w:rsid w:val="00CC59E2"/>
    <w:pPr>
      <w:keepLines/>
      <w:spacing w:after="180"/>
      <w:ind w:left="1702" w:hanging="1418"/>
    </w:pPr>
  </w:style>
  <w:style w:type="paragraph" w:customStyle="1" w:styleId="EW">
    <w:name w:val="EW"/>
    <w:basedOn w:val="EX"/>
    <w:rsid w:val="00CC59E2"/>
    <w:pPr>
      <w:spacing w:after="0"/>
    </w:pPr>
  </w:style>
  <w:style w:type="paragraph" w:customStyle="1" w:styleId="TAL">
    <w:name w:val="TAL"/>
    <w:basedOn w:val="Normal"/>
    <w:rsid w:val="00CC59E2"/>
    <w:pPr>
      <w:keepNext/>
      <w:keepLines/>
      <w:spacing w:after="0"/>
    </w:pPr>
    <w:rPr>
      <w:sz w:val="18"/>
    </w:rPr>
  </w:style>
  <w:style w:type="paragraph" w:customStyle="1" w:styleId="TAC">
    <w:name w:val="TAC"/>
    <w:basedOn w:val="TAL"/>
    <w:rsid w:val="00CC59E2"/>
    <w:pPr>
      <w:jc w:val="center"/>
    </w:pPr>
  </w:style>
  <w:style w:type="paragraph" w:customStyle="1" w:styleId="TAH">
    <w:name w:val="TAH"/>
    <w:basedOn w:val="TAC"/>
    <w:rsid w:val="00CC59E2"/>
    <w:rPr>
      <w:b/>
    </w:rPr>
  </w:style>
  <w:style w:type="paragraph" w:customStyle="1" w:styleId="TAN">
    <w:name w:val="TAN"/>
    <w:basedOn w:val="TAL"/>
    <w:rsid w:val="00CC59E2"/>
    <w:pPr>
      <w:ind w:left="851" w:hanging="851"/>
    </w:pPr>
  </w:style>
  <w:style w:type="paragraph" w:customStyle="1" w:styleId="TAR">
    <w:name w:val="TAR"/>
    <w:basedOn w:val="TAL"/>
    <w:rsid w:val="00CC59E2"/>
    <w:pPr>
      <w:jc w:val="right"/>
    </w:pPr>
  </w:style>
  <w:style w:type="paragraph" w:customStyle="1" w:styleId="TH">
    <w:name w:val="TH"/>
    <w:basedOn w:val="Normal"/>
    <w:rsid w:val="00CC59E2"/>
    <w:pPr>
      <w:keepNext/>
      <w:keepLines/>
      <w:spacing w:before="60" w:after="180"/>
      <w:jc w:val="center"/>
    </w:pPr>
    <w:rPr>
      <w:b/>
    </w:rPr>
  </w:style>
  <w:style w:type="paragraph" w:customStyle="1" w:styleId="TF">
    <w:name w:val="TF"/>
    <w:basedOn w:val="TH"/>
    <w:rsid w:val="00CC59E2"/>
    <w:pPr>
      <w:keepNext w:val="0"/>
      <w:spacing w:before="0" w:after="240"/>
    </w:pPr>
  </w:style>
  <w:style w:type="paragraph" w:customStyle="1" w:styleId="TT">
    <w:name w:val="TT"/>
    <w:basedOn w:val="Heading1"/>
    <w:next w:val="Normal"/>
    <w:rsid w:val="00CC59E2"/>
    <w:pPr>
      <w:numPr>
        <w:numId w:val="0"/>
      </w:numPr>
      <w:ind w:left="1134" w:hanging="1134"/>
      <w:outlineLvl w:val="9"/>
    </w:pPr>
    <w:rPr>
      <w:rFonts w:cs="Times New Roman"/>
      <w:szCs w:val="20"/>
      <w:lang w:eastAsia="en-US"/>
    </w:rPr>
  </w:style>
  <w:style w:type="paragraph" w:customStyle="1" w:styleId="ZA">
    <w:name w:val="ZA"/>
    <w:rsid w:val="00CC59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59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59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C59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C59E2"/>
  </w:style>
  <w:style w:type="paragraph" w:customStyle="1" w:styleId="ZH">
    <w:name w:val="ZH"/>
    <w:rsid w:val="00CC59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C59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C59E2"/>
    <w:pPr>
      <w:framePr w:hRule="auto" w:wrap="notBeside" w:y="852"/>
    </w:pPr>
    <w:rPr>
      <w:i w:val="0"/>
      <w:sz w:val="40"/>
    </w:rPr>
  </w:style>
  <w:style w:type="paragraph" w:customStyle="1" w:styleId="ZU">
    <w:name w:val="ZU"/>
    <w:rsid w:val="00CC59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59E2"/>
    <w:pPr>
      <w:framePr w:wrap="notBeside" w:y="16161"/>
    </w:pPr>
  </w:style>
  <w:style w:type="paragraph" w:customStyle="1" w:styleId="FP">
    <w:name w:val="FP"/>
    <w:basedOn w:val="Normal"/>
    <w:rsid w:val="00CC59E2"/>
    <w:pPr>
      <w:spacing w:after="0"/>
    </w:pPr>
  </w:style>
  <w:style w:type="paragraph" w:customStyle="1" w:styleId="Observation">
    <w:name w:val="Observation"/>
    <w:basedOn w:val="Proposal"/>
    <w:qFormat/>
    <w:rsid w:val="00CC59E2"/>
    <w:pPr>
      <w:numPr>
        <w:numId w:val="13"/>
      </w:numPr>
      <w:ind w:left="1701" w:hanging="1701"/>
    </w:pPr>
  </w:style>
  <w:style w:type="paragraph" w:styleId="TableofFigures">
    <w:name w:val="table of figures"/>
    <w:basedOn w:val="Normal"/>
    <w:next w:val="Normal"/>
    <w:uiPriority w:val="99"/>
    <w:rsid w:val="00CC59E2"/>
    <w:pPr>
      <w:ind w:left="1418" w:hanging="1418"/>
    </w:pPr>
    <w:rPr>
      <w:b/>
    </w:rPr>
  </w:style>
  <w:style w:type="paragraph" w:customStyle="1" w:styleId="Doc-text2">
    <w:name w:val="Doc-text2"/>
    <w:basedOn w:val="Normal"/>
    <w:link w:val="Doc-text2Char"/>
    <w:qFormat/>
    <w:rsid w:val="00CC59E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CC59E2"/>
    <w:rPr>
      <w:rFonts w:ascii="Arial" w:eastAsia="MS Mincho" w:hAnsi="Arial"/>
      <w:szCs w:val="24"/>
      <w:lang w:val="en-GB" w:eastAsia="en-GB"/>
    </w:rPr>
  </w:style>
  <w:style w:type="character" w:customStyle="1" w:styleId="B1Char1">
    <w:name w:val="B1 Char1"/>
    <w:link w:val="B1"/>
    <w:qFormat/>
    <w:rsid w:val="00E66917"/>
    <w:rPr>
      <w:rFonts w:ascii="Arial" w:hAnsi="Arial"/>
      <w:lang w:val="en-GB"/>
    </w:rPr>
  </w:style>
  <w:style w:type="paragraph" w:styleId="ListParagraph">
    <w:name w:val="List Paragraph"/>
    <w:basedOn w:val="Normal"/>
    <w:uiPriority w:val="34"/>
    <w:qFormat/>
    <w:rsid w:val="002D2A8D"/>
    <w:pPr>
      <w:ind w:left="720"/>
      <w:contextualSpacing/>
    </w:pPr>
  </w:style>
  <w:style w:type="character" w:customStyle="1" w:styleId="B5Char">
    <w:name w:val="B5 Char"/>
    <w:link w:val="B5"/>
    <w:rsid w:val="001A2D01"/>
    <w:rPr>
      <w:rFonts w:ascii="Arial" w:hAnsi="Arial"/>
      <w:lang w:val="en-GB"/>
    </w:rPr>
  </w:style>
  <w:style w:type="table" w:styleId="TableGrid">
    <w:name w:val="Table Grid"/>
    <w:basedOn w:val="TableNormal"/>
    <w:rsid w:val="00EE0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185E4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185E4D"/>
    <w:rPr>
      <w:rFonts w:ascii="Times New Roman" w:hAnsi="Times New Roman"/>
      <w:lang w:val="en-GB" w:eastAsia="ja-JP"/>
    </w:rPr>
  </w:style>
  <w:style w:type="paragraph" w:customStyle="1" w:styleId="ComeBack">
    <w:name w:val="ComeBack"/>
    <w:basedOn w:val="Doc-text2"/>
    <w:next w:val="Doc-text2"/>
    <w:link w:val="ComeBackCharChar"/>
    <w:rsid w:val="00E15EED"/>
    <w:pPr>
      <w:numPr>
        <w:numId w:val="24"/>
      </w:numPr>
      <w:tabs>
        <w:tab w:val="clear" w:pos="1622"/>
      </w:tabs>
      <w:spacing w:line="240" w:lineRule="auto"/>
    </w:pPr>
    <w:rPr>
      <w:rFonts w:ascii="Arial" w:hAnsi="Arial" w:cs="Times New Roman"/>
      <w:sz w:val="20"/>
      <w:lang w:val="en-GB"/>
    </w:rPr>
  </w:style>
  <w:style w:type="character" w:customStyle="1" w:styleId="ComeBackCharChar">
    <w:name w:val="ComeBack Char Char"/>
    <w:link w:val="ComeBack"/>
    <w:rsid w:val="00E15EE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BD529-8E2C-4C72-9A40-A6A6D11C2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2018-04-20T01:13:00Z</dcterms:created>
  <dcterms:modified xsi:type="dcterms:W3CDTF">2018-04-20T06:53:00Z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35a835c5-1bd9-4640-a79e-bf94e18d0452</vt:lpwstr>
  </property>
  <property fmtid="{D5CDD505-2E9C-101B-9397-08002B2CF9AE}" pid="3" name="CTP_TimeStamp">
    <vt:lpwstr>2018-04-20 01:14:12Z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